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8.jpeg" ContentType="image/jpeg"/>
  <Override PartName="/word/media/image9.png" ContentType="image/png"/>
  <Override PartName="/word/media/image7.jpeg" ContentType="image/jpeg"/>
  <Override PartName="/word/media/image2.jpeg" ContentType="image/jpeg"/>
  <Override PartName="/word/media/image1.jpeg" ContentType="image/jpeg"/>
  <Override PartName="/word/media/image6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Администрация города Шарыпово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Город Шарыпово Красноярского края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Times New Roman" w:cs="Times New Roman" w:ascii="Times New Roman" w:hAnsi="Times New Roman"/>
          <w:b/>
          <w:sz w:val="28"/>
          <w:szCs w:val="28"/>
        </w:rPr>
        <w:t>П</w:t>
      </w: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роект  Постановления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О внесении изменений и дополнений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муниципального образования «город Шарыпово Красноярского края»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ПОСТАНОВЛЯЮ: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1.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Внести в постановление Администрации города Шарыпово от 12.10.2017 № 200 «</w:t>
      </w:r>
      <w:r>
        <w:rPr>
          <w:rFonts w:eastAsia="Times New Roman" w:cs="Times New Roman" w:ascii="Times New Roman" w:hAnsi="Times New Roman"/>
          <w:sz w:val="28"/>
          <w:szCs w:val="28"/>
        </w:rPr>
        <w:t>Об утверждении муниципальной программы 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муниципального образования «город Шарыпово Красноярского края»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 следующие изменения: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1.1. Приложение к постановлению «муниципальная программа «Формирование современной городской среды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муниципального образования «город Шарыпово Красноярского края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» изменить, изложить в новой редакции согласно приложению, к настоящему постановлению.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2. Контроль за исполнением настоящего постановления возложить на Первого заместителя Главы города Шарыпово Д.Е. Гудкова.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Шарыпово», но не ранее 01 января 2020 года и подлежит размещению на 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www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gorodsharypovo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Глава города Шарыпово</w:t>
        <w:tab/>
        <w:tab/>
        <w:tab/>
        <w:tab/>
        <w:tab/>
        <w:tab/>
        <w:t>Н.А. Петровская</w:t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103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Приложение к Постановлению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Администрации города Шарыпово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5103"/>
        <w:outlineLvl w:val="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от _____________ № _______</w:t>
      </w:r>
    </w:p>
    <w:p>
      <w:pPr>
        <w:pStyle w:val="Normal"/>
        <w:shd w:val="clear" w:color="auto" w:fill="FFFFFF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Муниципальная программа</w:t>
      </w:r>
    </w:p>
    <w:p>
      <w:pPr>
        <w:pStyle w:val="Normal"/>
        <w:shd w:val="clear" w:color="auto" w:fill="FFFFFF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>
      <w:pPr>
        <w:pStyle w:val="Normal"/>
        <w:shd w:val="clear" w:color="auto" w:fill="FFFFFF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>
      <w:pPr>
        <w:pStyle w:val="Normal"/>
        <w:spacing w:lineRule="auto" w:line="240" w:before="240" w:after="20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bottomFromText="0" w:horzAnchor="margin" w:leftFromText="180" w:rightFromText="180" w:tblpX="0" w:tblpXSpec="center" w:tblpY="86" w:topFromText="0" w:vertAnchor="text"/>
        <w:tblW w:w="96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2802"/>
        <w:gridCol w:w="6803"/>
      </w:tblGrid>
      <w:tr>
        <w:trPr>
          <w:trHeight w:val="35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315" w:leader="none"/>
              </w:tabs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 xml:space="preserve"> (далее – программа)</w:t>
            </w:r>
          </w:p>
        </w:tc>
      </w:tr>
      <w:tr>
        <w:trPr>
          <w:trHeight w:val="182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Распоряжение Администрации города Шарыпово от 26.06.2019 № 733 «Об утверждении Перечня муниципальных программ муниципального образования города Шарыпово Красноярского края на 2020-2022 годы»</w:t>
            </w:r>
          </w:p>
        </w:tc>
      </w:tr>
      <w:tr>
        <w:trPr>
          <w:trHeight w:val="32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>
        <w:trPr>
          <w:trHeight w:val="64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>
            <w:pPr>
              <w:pStyle w:val="Normal"/>
              <w:tabs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2. Муниципальное казенное учреждение «Управление капитального строительства»;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4. Отдел культуры Администрации города Шарыпово.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>
        <w:trPr>
          <w:trHeight w:val="675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onsPlusNormal1"/>
              <w:widowControl/>
              <w:spacing w:lineRule="auto" w:line="240"/>
              <w:ind w:hanging="0"/>
              <w:jc w:val="both"/>
              <w:rPr>
                <w:rFonts w:ascii="Times New Roman" w:hAnsi="Times New Roman" w:cs="Times New Roman"/>
                <w:b/>
                <w:b/>
                <w:bCs/>
                <w:color w:val="000000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841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315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«город Шарыпово Красноярского края».</w:t>
            </w:r>
          </w:p>
        </w:tc>
      </w:tr>
      <w:tr>
        <w:trPr>
          <w:trHeight w:val="36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tabs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>
        <w:trPr>
          <w:trHeight w:val="34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2018-2024 г.г.</w:t>
            </w:r>
          </w:p>
        </w:tc>
      </w:tr>
      <w:tr>
        <w:trPr>
          <w:trHeight w:val="178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ListParagraph"/>
              <w:tabs>
                <w:tab w:val="left" w:pos="487" w:leader="none"/>
              </w:tabs>
              <w:spacing w:lineRule="auto" w:line="240" w:before="0" w:after="0"/>
              <w:ind w:left="62" w:hanging="0"/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pacing w:val="-7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>
        <w:trPr>
          <w:trHeight w:val="983" w:hRule="atLeast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Выполнение мероприятий программы в 2018 - 2022 годах предусматривает финансирование – 42 766,06 тыс. руб., в том числе по источникам и годам: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2019 г. – 21 309,62 тыс. руб., в том числе: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1 211,76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2020 г. – 940,03 тыс. руб., в том числе: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940,03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0,00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2021 г. – 940,03 тыс. руб., в том числе: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940,03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ind w:firstLine="346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2022 г. – 940,03 тыс. руб., в том числе: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Бюджет города Шарыпово – 940,03 тыс. руб.;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>
            <w:pPr>
              <w:pStyle w:val="Normal"/>
              <w:tabs>
                <w:tab w:val="left" w:pos="2760" w:leader="none"/>
              </w:tabs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>
      <w:pPr>
        <w:pStyle w:val="Normal"/>
        <w:spacing w:lineRule="auto" w:line="240" w:before="240" w:after="200"/>
        <w:ind w:right="-17" w:firstLine="709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2. Характирискика текущего состояния среды проживания населения в муниципальном образовании «город Шарыпово Красноярского края» с указанием основных показателей социально-экономического развития муниципального образования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«город Шарыпово Красноярского края».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>
      <w:pPr>
        <w:pStyle w:val="NoSpacing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Текущее состояние большинства дворовых территорий не соответствует современным треб</w:t>
      </w:r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ованиям к местам проживания граждан, обусловленным нормами Градостроительного и</w:t>
      </w:r>
      <w:r>
        <w:rPr>
          <w:rStyle w:val="Appleconvertedspace"/>
          <w:rFonts w:cs="Times New Roman" w:ascii="Times New Roman" w:hAnsi="Times New Roman"/>
          <w:color w:val="000000" w:themeColor="text1"/>
          <w:spacing w:val="2"/>
          <w:sz w:val="28"/>
          <w:szCs w:val="28"/>
          <w:shd w:fill="FFFFFF" w:val="clear"/>
        </w:rPr>
        <w:t xml:space="preserve"> </w:t>
      </w:r>
      <w:hyperlink r:id="rId2">
        <w:r>
          <w:rPr>
            <w:rStyle w:val="Style15"/>
            <w:rFonts w:cs="Times New Roman" w:ascii="Times New Roman" w:hAnsi="Times New Roman"/>
            <w:color w:val="000000" w:themeColor="text1"/>
            <w:spacing w:val="2"/>
            <w:sz w:val="28"/>
            <w:szCs w:val="28"/>
            <w:highlight w:val="white"/>
            <w:u w:val="none"/>
          </w:rPr>
          <w:t>Жилищного кодексов Российской Федерации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  <w:shd w:fill="FFFFFF" w:val="clear"/>
        </w:rPr>
        <w:t>,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многоквартирными домами истек, недостаточно оборудованных детских и спортивных площадок.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состоянию на 1 января 2018 года количество многоквартирных домов, расположенных на территории муниципального образования «город Шарыпово Красноярского края» с прилегающими к ним дворовыми территориями, составляет 244 дома. Общественных территорий – 10 территорий.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01.01.2020г. 170 дворовых территорий нуждаются в благоустройстве.</w:t>
      </w:r>
    </w:p>
    <w:p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По данным инвентаризации на территории муниципального образования город Шарыпово расположено 10 общественных территорий, при этом 100% требуют благоустройства.</w:t>
      </w:r>
    </w:p>
    <w:p>
      <w:pPr>
        <w:pStyle w:val="Normal"/>
        <w:spacing w:lineRule="auto" w:line="240" w:before="240" w:after="200"/>
        <w:ind w:right="-17" w:firstLine="709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</w:t>
      </w:r>
      <w:r>
        <w:rPr/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>
        <w:rPr>
          <w:rFonts w:eastAsia="Calibri" w:cs="Times New Roman" w:ascii="Times New Roman" w:hAnsi="Times New Roman" w:eastAsiaTheme="minorHAnsi"/>
          <w:color w:val="2D2D2D"/>
          <w:spacing w:val="2"/>
          <w:sz w:val="28"/>
          <w:szCs w:val="28"/>
          <w:shd w:fill="FFFFFF" w:val="clear"/>
          <w:lang w:eastAsia="en-US"/>
        </w:rPr>
        <w:t xml:space="preserve"> </w:t>
      </w:r>
      <w:hyperlink r:id="rId3">
        <w:r>
          <w:rPr>
            <w:rStyle w:val="ListLabel43"/>
            <w:rFonts w:eastAsia="Calibri" w:cs="Times New Roman" w:ascii="Times New Roman" w:hAnsi="Times New Roman" w:eastAsiaTheme="minorHAnsi"/>
            <w:spacing w:val="2"/>
            <w:sz w:val="28"/>
            <w:szCs w:val="28"/>
            <w:shd w:fill="FFFFFF" w:val="clear"/>
            <w:lang w:eastAsia="en-US"/>
          </w:rPr>
          <w:t>Градостроительного кодекса Российской Федерации</w:t>
        </w:r>
      </w:hyperlink>
      <w:r>
        <w:rPr>
          <w:rFonts w:eastAsia="Calibri" w:cs="Times New Roman" w:ascii="Times New Roman" w:hAnsi="Times New Roman" w:eastAsiaTheme="minorHAnsi"/>
          <w:spacing w:val="2"/>
          <w:sz w:val="28"/>
          <w:szCs w:val="28"/>
          <w:shd w:fill="FFFFFF" w:val="clear"/>
          <w:lang w:eastAsia="en-US"/>
        </w:rPr>
        <w:t xml:space="preserve"> </w:t>
      </w: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highlight w:val="white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highlight w:val="white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highlight w:val="white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shd w:fill="FFFFFF" w:val="clear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>
      <w:pPr>
        <w:pStyle w:val="Normal"/>
        <w:tabs>
          <w:tab w:val="left" w:pos="315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 xml:space="preserve">Цель программы: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1.</w:t>
        <w:tab/>
        <w:t>Обеспечение формирования единого облика муниципального образования «город Шарыпово Красноярского края»;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2.</w:t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3.</w:t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4.</w:t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Основные этапы реализации программы: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и проведение широкого общественного обсуждения планов благоустройства.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Проведение просветительской работы, направленной на информирование населения о Программе и участии в ней.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дизайн-проектов благоустройства каждой дворовой территории.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Подготовка дизайн-проекта наиболее общественной территории.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Организация работы по заключению муниципальных контрактов на благоустройство общественной территории.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shd w:fill="FFFFFF" w:val="clear"/>
        </w:rPr>
        <w:t>- Выполнение работ по благоустройству: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1. дворовых территорий;</w:t>
      </w:r>
    </w:p>
    <w:p>
      <w:pPr>
        <w:pStyle w:val="Normal"/>
        <w:shd w:val="clear" w:color="auto" w:fill="FFFFFF"/>
        <w:spacing w:lineRule="atLeast" w:line="315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pacing w:val="2"/>
          <w:sz w:val="28"/>
          <w:szCs w:val="28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</w:rPr>
        <w:t>2.общественных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На территории муниципального образования «город Шарыпово Красноярского края»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№5 к настоящей программе.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Кроме этого программой предусмотрено: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Перечень мероприятий муниципальной программы приведен в приложении №3 к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2020-2024г.г.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, приведен в приложении №6 к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2020-2024г.г., приведен в приложении №7 к программе.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2020-2024г.г. были проведены рейтинговые голосования по отбору общественной территории подлежащей благоустройству в 2020г.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Большинством голосов (2625 голосов) определена общественная территория, благоустройство которой будет производиться в 2020г. – парк «Центральный» в 4 мкр. «Устройство спортивной площадки» (площадка для экстремальных видов спорта (скейтборда, стритборда), дорожки для езды на велосипедах, роликах, самокатах, скандинавской ходьбы.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ascii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>
      <w:pPr>
        <w:pStyle w:val="ListParagraph"/>
        <w:numPr>
          <w:ilvl w:val="1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проведение р</w:t>
      </w:r>
      <w:r>
        <w:rPr>
          <w:rFonts w:cs="Times New Roman" w:ascii="Times New Roman" w:hAnsi="Times New Roman"/>
          <w:sz w:val="28"/>
          <w:szCs w:val="28"/>
        </w:rPr>
        <w:t xml:space="preserve">азъяснительной работы с собственниками </w:t>
      </w:r>
      <w:r>
        <w:rPr>
          <w:rFonts w:eastAsia="Times New Roman" w:ascii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>
        <w:rPr>
          <w:rFonts w:cs="Times New Roman" w:ascii="Times New Roman" w:hAnsi="Times New Roman"/>
          <w:sz w:val="28"/>
          <w:szCs w:val="28"/>
        </w:rPr>
        <w:t>о принципах благоустройства;</w:t>
      </w:r>
    </w:p>
    <w:p>
      <w:pPr>
        <w:pStyle w:val="ListParagraph"/>
        <w:widowControl w:val="false"/>
        <w:numPr>
          <w:ilvl w:val="1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</w:rPr>
        <w:t>п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о итогам инвентаризации </w:t>
      </w:r>
      <w:r>
        <w:rPr>
          <w:rFonts w:eastAsia="Times New Roman" w:ascii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будут составлены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по форме, приведенной в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приложении №10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к программе;</w:t>
      </w:r>
    </w:p>
    <w:p>
      <w:pPr>
        <w:pStyle w:val="ListParagraph"/>
        <w:widowControl w:val="false"/>
        <w:numPr>
          <w:ilvl w:val="1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правил благоустройства по результатам проведенной инвентаризации.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в порядке, установленном такой комиссией.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Право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 xml:space="preserve">город Шарыпово Красноярского края» </w:t>
      </w:r>
      <w:r>
        <w:rPr>
          <w:rFonts w:cs="Times New Roman" w:ascii="Times New Roman" w:hAnsi="Times New Roman"/>
          <w:sz w:val="28"/>
          <w:szCs w:val="28"/>
        </w:rPr>
        <w:t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«</w:t>
      </w:r>
      <w:r>
        <w:rPr>
          <w:rFonts w:eastAsia="Calibri" w:cs="Times New Roman" w:ascii="Times New Roman" w:hAnsi="Times New Roman" w:eastAsiaTheme="minorHAnsi"/>
          <w:sz w:val="28"/>
          <w:szCs w:val="28"/>
        </w:rPr>
        <w:t>город Шарыпово Красноярского края»</w:t>
      </w:r>
      <w:r>
        <w:rPr>
          <w:rFonts w:cs="Times New Roman" w:ascii="Times New Roman" w:hAnsi="Times New Roman"/>
          <w:sz w:val="28"/>
          <w:szCs w:val="28"/>
        </w:rPr>
        <w:t xml:space="preserve"> в порядке, установленном такой комиссией;</w:t>
      </w:r>
    </w:p>
    <w:p>
      <w:pPr>
        <w:pStyle w:val="ListParagraph"/>
        <w:numPr>
          <w:ilvl w:val="0"/>
          <w:numId w:val="2"/>
        </w:numPr>
        <w:spacing w:lineRule="auto" w:line="240" w:before="280"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>
      <w:pPr>
        <w:pStyle w:val="ListParagraph"/>
        <w:widowControl w:val="false"/>
        <w:numPr>
          <w:ilvl w:val="0"/>
          <w:numId w:val="2"/>
        </w:numPr>
        <w:spacing w:lineRule="auto" w:line="240" w:before="280" w:after="0"/>
        <w:ind w:left="0" w:firstLine="709"/>
        <w:contextualSpacing/>
        <w:jc w:val="both"/>
        <w:rPr>
          <w:rFonts w:ascii="Times New Roman" w:hAnsi="Times New Roman" w:eastAsia="Calibri" w:cs="Times New Roman" w:eastAsiaTheme="minorHAnsi"/>
          <w:sz w:val="28"/>
          <w:szCs w:val="28"/>
          <w:lang w:eastAsia="en-US"/>
        </w:rPr>
      </w:pPr>
      <w:r>
        <w:rPr>
          <w:rFonts w:cs="Times New Roman" w:ascii="Times New Roman" w:hAnsi="Times New Roman"/>
          <w:sz w:val="28"/>
          <w:szCs w:val="28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>
      <w:pPr>
        <w:pStyle w:val="Normal"/>
        <w:tabs>
          <w:tab w:val="left" w:pos="0" w:leader="none"/>
        </w:tabs>
        <w:spacing w:lineRule="auto" w:line="240" w:before="240" w:after="120"/>
        <w:ind w:right="-17" w:firstLine="709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val="x-none" w:eastAsia="x-none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x-none" w:eastAsia="x-none"/>
        </w:rPr>
        <w:t xml:space="preserve"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x-none"/>
        </w:rPr>
        <w:t>сфере формирования современной городской среды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x-none" w:eastAsia="x-none"/>
        </w:rPr>
        <w:t>, экономики, степени реализации других общественно значимых интересов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Реализация программы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 результате реализации программы к 2024 году должен сложиться качественно новый уровень состояния городской среды со следующими характеристиками: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«город Шарыпово Красноярского края»;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>
      <w:pPr>
        <w:pStyle w:val="Normal"/>
        <w:shd w:val="clear" w:color="auto" w:fill="FFFFFF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Целевые индикаторы:</w:t>
      </w:r>
    </w:p>
    <w:p>
      <w:pPr>
        <w:pStyle w:val="Normal"/>
        <w:shd w:val="clear" w:color="auto" w:fill="FFFFFF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граждан, привлеченных к работам по благоустройству, от общего числа граждан, проживающих в муниципальном образовании к 2022 году до 38,4%;</w:t>
      </w:r>
    </w:p>
    <w:p>
      <w:pPr>
        <w:pStyle w:val="Normal"/>
        <w:shd w:val="clear" w:color="auto" w:fill="FFFFFF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2022 году до 36,0%;</w:t>
      </w:r>
    </w:p>
    <w:p>
      <w:pPr>
        <w:pStyle w:val="Normal"/>
        <w:shd w:val="clear" w:color="auto" w:fill="FFFFFF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к 2022 году до 40%;</w:t>
      </w:r>
    </w:p>
    <w:p>
      <w:pPr>
        <w:pStyle w:val="Normal"/>
        <w:shd w:val="clear" w:color="auto" w:fill="FFFFFF"/>
        <w:spacing w:lineRule="auto" w:line="240" w:before="0" w:after="0"/>
        <w:ind w:right="53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2022 году до 8,3%.</w:t>
      </w:r>
    </w:p>
    <w:p>
      <w:pPr>
        <w:pStyle w:val="Normal"/>
        <w:widowControl w:val="false"/>
        <w:suppressAutoHyphens w:val="true"/>
        <w:spacing w:lineRule="atLeast" w:line="100" w:before="0" w:after="0"/>
        <w:ind w:left="142" w:firstLine="709"/>
        <w:jc w:val="both"/>
        <w:rPr>
          <w:rFonts w:ascii="Times New Roman" w:hAnsi="Times New Roman" w:eastAsia="SimSun" w:cs="Times New Roman"/>
          <w:bCs/>
          <w:kern w:val="2"/>
          <w:sz w:val="24"/>
          <w:szCs w:val="24"/>
          <w:lang w:eastAsia="ar-SA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>
        <w:rPr>
          <w:rFonts w:eastAsia="SimSun" w:cs="Times New Roman" w:ascii="Times New Roman" w:hAnsi="Times New Roman"/>
          <w:bCs/>
          <w:kern w:val="2"/>
          <w:sz w:val="24"/>
          <w:szCs w:val="24"/>
          <w:lang w:eastAsia="ar-SA"/>
        </w:rPr>
        <w:t xml:space="preserve"> </w:t>
      </w:r>
    </w:p>
    <w:p>
      <w:pPr>
        <w:pStyle w:val="Normal"/>
        <w:tabs>
          <w:tab w:val="left" w:pos="0" w:leader="none"/>
        </w:tabs>
        <w:spacing w:lineRule="auto" w:line="240" w:before="240" w:after="120"/>
        <w:ind w:right="-17" w:firstLine="709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x-none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x-none"/>
        </w:rPr>
        <w:t>5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x-none" w:eastAsia="x-none"/>
        </w:rPr>
        <w:t>.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x-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val="x-none" w:eastAsia="x-none"/>
        </w:rPr>
        <w:t>Информация по подпрограммам, отдельным мероприятиям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>
      <w:pPr>
        <w:pStyle w:val="ConsPlusNormal1"/>
        <w:spacing w:before="240" w:after="240"/>
        <w:ind w:firstLine="708"/>
        <w:jc w:val="center"/>
        <w:rPr>
          <w:rFonts w:ascii="Times New Roman" w:hAnsi="Times New Roman" w:cs="Times New Roman"/>
          <w:b/>
          <w:b/>
          <w:bCs/>
          <w:color w:val="000000"/>
          <w:sz w:val="28"/>
          <w:szCs w:val="28"/>
          <w:lang w:eastAsia="x-none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  <w:lang w:eastAsia="x-none"/>
        </w:rPr>
        <w:t>6. Основные меры правового регулирования, направленные на достижение цели и (или) задач муниципальной программы</w:t>
      </w:r>
    </w:p>
    <w:p>
      <w:pPr>
        <w:pStyle w:val="ConsPlusNormal1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</w:pPr>
      <w:r>
        <w:rPr>
          <w:rFonts w:cs="Times New Roman" w:ascii="Times New Roman" w:hAnsi="Times New Roman"/>
          <w:bCs/>
          <w:color w:val="000000"/>
          <w:sz w:val="28"/>
          <w:szCs w:val="28"/>
          <w:lang w:eastAsia="x-none"/>
        </w:rPr>
        <w:t>Для достижения цели и задач программы принятие нормативных правовых актов не требуется.</w:t>
      </w:r>
    </w:p>
    <w:p>
      <w:pPr>
        <w:pStyle w:val="Normal"/>
        <w:tabs>
          <w:tab w:val="left" w:pos="0" w:leader="none"/>
        </w:tabs>
        <w:spacing w:lineRule="auto" w:line="240" w:before="240" w:after="0"/>
        <w:ind w:right="-17" w:hanging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x-none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>
      <w:pPr>
        <w:pStyle w:val="Normal"/>
        <w:tabs>
          <w:tab w:val="left" w:pos="0" w:leader="none"/>
        </w:tabs>
        <w:spacing w:lineRule="auto" w:line="240" w:before="240" w:after="120"/>
        <w:ind w:right="-17" w:firstLine="709"/>
        <w:jc w:val="both"/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x-none"/>
        </w:rPr>
      </w:pP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>
      <w:pPr>
        <w:pStyle w:val="Normal"/>
        <w:spacing w:lineRule="auto" w:line="240" w:before="240" w:after="200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>
        <w:rPr>
          <w:rFonts w:eastAsia="Calibri" w:cs="Times New Roman" w:ascii="Times New Roman" w:hAnsi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/>
      </w:pPr>
      <w:hyperlink r:id="rId4">
        <w:r>
          <w:rPr>
            <w:rStyle w:val="ListLabel44"/>
            <w:rFonts w:eastAsia="Calibri" w:cs="Times New Roman" w:ascii="Times New Roman" w:hAnsi="Times New Roman"/>
            <w:sz w:val="28"/>
            <w:szCs w:val="28"/>
          </w:rPr>
          <w:t>Информаци</w:t>
        </w:r>
      </w:hyperlink>
      <w:r>
        <w:rPr>
          <w:rFonts w:eastAsia="Calibri" w:cs="Times New Roman" w:ascii="Times New Roman" w:hAnsi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Шарыопов, в том числе средства, поступившие из бюджетов других уровней бюджетной системы) представлена приложении №2 к Программе.</w:t>
      </w:r>
    </w:p>
    <w:tbl>
      <w:tblPr>
        <w:tblW w:w="1457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49"/>
        <w:gridCol w:w="4241"/>
        <w:gridCol w:w="1284"/>
        <w:gridCol w:w="2297"/>
        <w:gridCol w:w="656"/>
        <w:gridCol w:w="656"/>
        <w:gridCol w:w="877"/>
        <w:gridCol w:w="877"/>
        <w:gridCol w:w="877"/>
        <w:gridCol w:w="1171"/>
        <w:gridCol w:w="1083"/>
      </w:tblGrid>
      <w:tr>
        <w:trPr>
          <w:trHeight w:val="1515" w:hRule="atLeast"/>
        </w:trPr>
        <w:tc>
          <w:tcPr>
            <w:tcW w:w="5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2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9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885" w:type="dxa"/>
            <w:gridSpan w:val="5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Приложение № 1 </w:t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300" w:hRule="exact"/>
        </w:trPr>
        <w:tc>
          <w:tcPr>
            <w:tcW w:w="5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2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9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7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900" w:hRule="atLeast"/>
        </w:trPr>
        <w:tc>
          <w:tcPr>
            <w:tcW w:w="14568" w:type="dxa"/>
            <w:gridSpan w:val="11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>
        <w:trPr>
          <w:trHeight w:val="330" w:hRule="exact"/>
        </w:trPr>
        <w:tc>
          <w:tcPr>
            <w:tcW w:w="5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2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9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5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7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7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604" w:hRule="atLeast"/>
        </w:trPr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№</w:t>
            </w:r>
            <w:r>
              <w:rPr>
                <w:rFonts w:eastAsia="Times New Roman" w:cs="Times New Roman" w:ascii="Times New Roman" w:hAnsi="Times New Roman"/>
              </w:rPr>
              <w:br/>
              <w:t xml:space="preserve"> п/п</w:t>
            </w:r>
          </w:p>
        </w:tc>
        <w:tc>
          <w:tcPr>
            <w:tcW w:w="4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Цели, задачи, показатели 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Единица измерения</w:t>
            </w:r>
          </w:p>
        </w:tc>
        <w:tc>
          <w:tcPr>
            <w:tcW w:w="2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6197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Годы реализации муниципальной программы</w:t>
            </w:r>
          </w:p>
        </w:tc>
      </w:tr>
      <w:tr>
        <w:trPr>
          <w:trHeight w:val="1755" w:hRule="atLeast"/>
        </w:trPr>
        <w:tc>
          <w:tcPr>
            <w:tcW w:w="5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2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2018</w:t>
            </w:r>
          </w:p>
        </w:tc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2019</w:t>
            </w:r>
          </w:p>
        </w:tc>
        <w:tc>
          <w:tcPr>
            <w:tcW w:w="87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2020</w:t>
            </w:r>
          </w:p>
        </w:tc>
        <w:tc>
          <w:tcPr>
            <w:tcW w:w="87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2021</w:t>
            </w:r>
          </w:p>
        </w:tc>
        <w:tc>
          <w:tcPr>
            <w:tcW w:w="87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</w:t>
            </w:r>
          </w:p>
        </w:tc>
        <w:tc>
          <w:tcPr>
            <w:tcW w:w="225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годы до конца реализации муниципальной программы пятилетнем интервале</w:t>
            </w:r>
          </w:p>
        </w:tc>
      </w:tr>
      <w:tr>
        <w:trPr>
          <w:trHeight w:val="555" w:hRule="atLeast"/>
        </w:trPr>
        <w:tc>
          <w:tcPr>
            <w:tcW w:w="54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2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28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9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8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8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8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17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2027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2032</w:t>
            </w:r>
          </w:p>
        </w:tc>
      </w:tr>
      <w:tr>
        <w:trPr>
          <w:trHeight w:val="300" w:hRule="atLeast"/>
        </w:trPr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42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12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87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87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  <w:tc>
          <w:tcPr>
            <w:tcW w:w="87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117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11</w:t>
            </w:r>
          </w:p>
        </w:tc>
      </w:tr>
      <w:tr>
        <w:trPr>
          <w:trHeight w:val="780" w:hRule="atLeast"/>
        </w:trPr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14019" w:type="dxa"/>
            <w:gridSpan w:val="10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>
        <w:trPr>
          <w:trHeight w:val="1380" w:hRule="atLeast"/>
        </w:trPr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42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12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6,4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12,8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19,2</w:t>
            </w:r>
          </w:p>
        </w:tc>
        <w:tc>
          <w:tcPr>
            <w:tcW w:w="87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25,6</w:t>
            </w:r>
          </w:p>
        </w:tc>
        <w:tc>
          <w:tcPr>
            <w:tcW w:w="87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32,0</w:t>
            </w:r>
          </w:p>
        </w:tc>
        <w:tc>
          <w:tcPr>
            <w:tcW w:w="87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38,4</w:t>
            </w:r>
          </w:p>
        </w:tc>
        <w:tc>
          <w:tcPr>
            <w:tcW w:w="117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100</w:t>
            </w:r>
          </w:p>
        </w:tc>
      </w:tr>
      <w:tr>
        <w:trPr>
          <w:trHeight w:val="1408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23,8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27,9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30,3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32,7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34,0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36,0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46,0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56,0</w:t>
            </w:r>
          </w:p>
        </w:tc>
      </w:tr>
      <w:tr>
        <w:trPr>
          <w:trHeight w:val="1249" w:hRule="atLeast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42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2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25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29,4</w:t>
            </w:r>
          </w:p>
        </w:tc>
        <w:tc>
          <w:tcPr>
            <w:tcW w:w="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33,7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36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38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40</w:t>
            </w:r>
          </w:p>
        </w:tc>
        <w:tc>
          <w:tcPr>
            <w:tcW w:w="11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50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60</w:t>
            </w:r>
          </w:p>
        </w:tc>
      </w:tr>
      <w:tr>
        <w:trPr>
          <w:trHeight w:val="1832" w:hRule="atLeast"/>
        </w:trPr>
        <w:tc>
          <w:tcPr>
            <w:tcW w:w="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1.4.</w:t>
            </w:r>
          </w:p>
        </w:tc>
        <w:tc>
          <w:tcPr>
            <w:tcW w:w="42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12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%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2,4</w:t>
            </w:r>
          </w:p>
        </w:tc>
        <w:tc>
          <w:tcPr>
            <w:tcW w:w="6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3,5</w:t>
            </w:r>
          </w:p>
        </w:tc>
        <w:tc>
          <w:tcPr>
            <w:tcW w:w="87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5,5</w:t>
            </w:r>
          </w:p>
        </w:tc>
        <w:tc>
          <w:tcPr>
            <w:tcW w:w="87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8,0</w:t>
            </w:r>
          </w:p>
        </w:tc>
        <w:tc>
          <w:tcPr>
            <w:tcW w:w="87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8,3</w:t>
            </w:r>
          </w:p>
        </w:tc>
        <w:tc>
          <w:tcPr>
            <w:tcW w:w="117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10,0</w:t>
            </w:r>
          </w:p>
        </w:tc>
        <w:tc>
          <w:tcPr>
            <w:tcW w:w="108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24,0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header="0" w:top="1701" w:footer="0" w:bottom="850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tbl>
      <w:tblPr>
        <w:tblW w:w="14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55"/>
        <w:gridCol w:w="2013"/>
        <w:gridCol w:w="2836"/>
        <w:gridCol w:w="2092"/>
        <w:gridCol w:w="739"/>
        <w:gridCol w:w="695"/>
        <w:gridCol w:w="1329"/>
        <w:gridCol w:w="546"/>
        <w:gridCol w:w="904"/>
        <w:gridCol w:w="903"/>
        <w:gridCol w:w="904"/>
        <w:gridCol w:w="1054"/>
      </w:tblGrid>
      <w:tr>
        <w:trPr>
          <w:trHeight w:val="1635" w:hRule="atLeast"/>
        </w:trPr>
        <w:tc>
          <w:tcPr>
            <w:tcW w:w="55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01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9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3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4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765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Приложение № 1 </w:t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300" w:hRule="exact"/>
        </w:trPr>
        <w:tc>
          <w:tcPr>
            <w:tcW w:w="55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1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9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3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4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0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0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0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5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380" w:hRule="atLeast"/>
        </w:trPr>
        <w:tc>
          <w:tcPr>
            <w:tcW w:w="14570" w:type="dxa"/>
            <w:gridSpan w:val="1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>
        <w:trPr>
          <w:trHeight w:val="300" w:hRule="exact"/>
        </w:trPr>
        <w:tc>
          <w:tcPr>
            <w:tcW w:w="55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1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09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73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69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32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54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0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03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0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5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750" w:hRule="atLeast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п/п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Статус (муниципальная программа, подпрограмма)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муниципальной программы, подпрограммы</w:t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330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Код бюджетной классификации </w:t>
            </w:r>
          </w:p>
        </w:tc>
        <w:tc>
          <w:tcPr>
            <w:tcW w:w="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2020 год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2021 год</w:t>
            </w:r>
          </w:p>
        </w:tc>
        <w:tc>
          <w:tcPr>
            <w:tcW w:w="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 год</w:t>
            </w:r>
          </w:p>
        </w:tc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Итого на 2020-2022 гг.</w:t>
            </w:r>
          </w:p>
        </w:tc>
      </w:tr>
      <w:tr>
        <w:trPr>
          <w:trHeight w:val="420" w:hRule="atLeast"/>
        </w:trPr>
        <w:tc>
          <w:tcPr>
            <w:tcW w:w="5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0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9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ГРБС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РзПр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ЦСР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ВР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план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план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план</w:t>
            </w:r>
          </w:p>
        </w:tc>
        <w:tc>
          <w:tcPr>
            <w:tcW w:w="10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315" w:hRule="atLeast"/>
        </w:trPr>
        <w:tc>
          <w:tcPr>
            <w:tcW w:w="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20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283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11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</w:t>
            </w:r>
          </w:p>
        </w:tc>
      </w:tr>
      <w:tr>
        <w:trPr>
          <w:trHeight w:val="735" w:hRule="atLeast"/>
        </w:trPr>
        <w:tc>
          <w:tcPr>
            <w:tcW w:w="5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20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Муниципальная программа</w:t>
            </w:r>
          </w:p>
        </w:tc>
        <w:tc>
          <w:tcPr>
            <w:tcW w:w="28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2 820,09</w:t>
            </w:r>
          </w:p>
        </w:tc>
      </w:tr>
      <w:tr>
        <w:trPr>
          <w:trHeight w:val="315" w:hRule="atLeast"/>
        </w:trPr>
        <w:tc>
          <w:tcPr>
            <w:tcW w:w="5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0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в том числе по ГРБС: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</w:tr>
      <w:tr>
        <w:trPr>
          <w:trHeight w:val="495" w:hRule="atLeast"/>
        </w:trPr>
        <w:tc>
          <w:tcPr>
            <w:tcW w:w="5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0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МКУ "СГХ"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2 820,09</w:t>
            </w:r>
          </w:p>
        </w:tc>
      </w:tr>
      <w:tr>
        <w:trPr>
          <w:trHeight w:val="825" w:hRule="atLeast"/>
        </w:trPr>
        <w:tc>
          <w:tcPr>
            <w:tcW w:w="5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0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  <w:tr>
        <w:trPr>
          <w:trHeight w:val="495" w:hRule="atLeast"/>
        </w:trPr>
        <w:tc>
          <w:tcPr>
            <w:tcW w:w="5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20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КУМИ и ЗО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Х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  <w:tr>
        <w:trPr>
          <w:trHeight w:val="630" w:hRule="atLeast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Мероприятие 1 муниципальной программы 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2 820,09</w:t>
            </w:r>
          </w:p>
        </w:tc>
      </w:tr>
      <w:tr>
        <w:trPr>
          <w:trHeight w:val="402" w:hRule="atLeast"/>
        </w:trPr>
        <w:tc>
          <w:tcPr>
            <w:tcW w:w="5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</w:tr>
      <w:tr>
        <w:trPr>
          <w:trHeight w:val="255" w:hRule="atLeast"/>
        </w:trPr>
        <w:tc>
          <w:tcPr>
            <w:tcW w:w="5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3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МКУ "СГХ"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133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120F255550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2 820,09</w:t>
            </w:r>
          </w:p>
        </w:tc>
      </w:tr>
      <w:tr>
        <w:trPr>
          <w:trHeight w:val="765" w:hRule="atLeast"/>
        </w:trPr>
        <w:tc>
          <w:tcPr>
            <w:tcW w:w="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Мероприятие 2 муниципальной программы </w:t>
            </w:r>
          </w:p>
        </w:tc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  <w:tr>
        <w:trPr>
          <w:trHeight w:val="375" w:hRule="atLeast"/>
        </w:trPr>
        <w:tc>
          <w:tcPr>
            <w:tcW w:w="5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</w:tr>
      <w:tr>
        <w:trPr>
          <w:trHeight w:val="600" w:hRule="atLeast"/>
        </w:trPr>
        <w:tc>
          <w:tcPr>
            <w:tcW w:w="5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КУМИ и ЗО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117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1200005550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  <w:tr>
        <w:trPr>
          <w:trHeight w:val="555" w:hRule="atLeast"/>
        </w:trPr>
        <w:tc>
          <w:tcPr>
            <w:tcW w:w="5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201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Мероприятие 3 муниципальной программы </w:t>
            </w:r>
          </w:p>
        </w:tc>
        <w:tc>
          <w:tcPr>
            <w:tcW w:w="28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всего расходные обязательства по программе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Х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  <w:tr>
        <w:trPr>
          <w:trHeight w:val="405" w:hRule="atLeast"/>
        </w:trPr>
        <w:tc>
          <w:tcPr>
            <w:tcW w:w="5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 том числе по ГРБС: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</w:tr>
      <w:tr>
        <w:trPr>
          <w:trHeight w:val="450" w:hRule="atLeast"/>
        </w:trPr>
        <w:tc>
          <w:tcPr>
            <w:tcW w:w="55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1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8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09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МКУ "СГХ"</w:t>
            </w:r>
          </w:p>
        </w:tc>
        <w:tc>
          <w:tcPr>
            <w:tcW w:w="7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133</w:t>
            </w:r>
          </w:p>
        </w:tc>
        <w:tc>
          <w:tcPr>
            <w:tcW w:w="69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0503</w:t>
            </w:r>
          </w:p>
        </w:tc>
        <w:tc>
          <w:tcPr>
            <w:tcW w:w="13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12000S5551</w:t>
            </w:r>
          </w:p>
        </w:tc>
        <w:tc>
          <w:tcPr>
            <w:tcW w:w="5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244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0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9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05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</w:tbl>
    <w:p>
      <w:pPr>
        <w:sectPr>
          <w:type w:val="nextPage"/>
          <w:pgSz w:orient="landscape" w:w="16838" w:h="11906"/>
          <w:pgMar w:left="1134" w:right="1134" w:header="0" w:top="1701" w:footer="0" w:bottom="850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tbl>
      <w:tblPr>
        <w:tblW w:w="14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75"/>
        <w:gridCol w:w="2280"/>
        <w:gridCol w:w="4331"/>
        <w:gridCol w:w="2525"/>
        <w:gridCol w:w="847"/>
        <w:gridCol w:w="1141"/>
        <w:gridCol w:w="1140"/>
        <w:gridCol w:w="2"/>
        <w:gridCol w:w="1728"/>
      </w:tblGrid>
      <w:tr>
        <w:trPr>
          <w:trHeight w:val="1515" w:hRule="atLeast"/>
        </w:trPr>
        <w:tc>
          <w:tcPr>
            <w:tcW w:w="5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8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33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011" w:type="dxa"/>
            <w:gridSpan w:val="4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Приложение № 2</w:t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>
        <w:trPr>
          <w:trHeight w:val="300" w:hRule="exact"/>
        </w:trPr>
        <w:tc>
          <w:tcPr>
            <w:tcW w:w="5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33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0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930" w:hRule="atLeast"/>
        </w:trPr>
        <w:tc>
          <w:tcPr>
            <w:tcW w:w="14569" w:type="dxa"/>
            <w:gridSpan w:val="9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>
        <w:trPr>
          <w:trHeight w:val="300" w:hRule="exact"/>
        </w:trPr>
        <w:tc>
          <w:tcPr>
            <w:tcW w:w="57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433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2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4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4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30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855" w:hRule="atLeast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</w:rPr>
              <w:t>п/п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Статус (муниципальная программа, подпрограмма)</w:t>
            </w:r>
          </w:p>
        </w:tc>
        <w:tc>
          <w:tcPr>
            <w:tcW w:w="4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Наименование муниципальной программы, подпрограммы</w:t>
            </w:r>
          </w:p>
        </w:tc>
        <w:tc>
          <w:tcPr>
            <w:tcW w:w="2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Уровень бюджетной системы/источники финансирования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2020 год</w:t>
            </w:r>
          </w:p>
        </w:tc>
        <w:tc>
          <w:tcPr>
            <w:tcW w:w="1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2021 год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2022 год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Итого на 2020-2022гг.</w:t>
            </w:r>
          </w:p>
        </w:tc>
      </w:tr>
      <w:tr>
        <w:trPr>
          <w:trHeight w:val="177" w:hRule="atLeast"/>
        </w:trPr>
        <w:tc>
          <w:tcPr>
            <w:tcW w:w="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313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план</w:t>
            </w:r>
          </w:p>
        </w:tc>
        <w:tc>
          <w:tcPr>
            <w:tcW w:w="172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>
          <w:trHeight w:val="240" w:hRule="atLeast"/>
        </w:trPr>
        <w:tc>
          <w:tcPr>
            <w:tcW w:w="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228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43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1</w:t>
            </w:r>
          </w:p>
        </w:tc>
        <w:tc>
          <w:tcPr>
            <w:tcW w:w="2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Муниципальная программа</w:t>
            </w:r>
          </w:p>
        </w:tc>
        <w:tc>
          <w:tcPr>
            <w:tcW w:w="43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Всего                  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2 820,09</w:t>
            </w:r>
          </w:p>
        </w:tc>
      </w:tr>
      <w:tr>
        <w:trPr>
          <w:trHeight w:val="193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бюджет города Шарыпово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940,03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2 820,09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краевой бюджет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  <w:tr>
        <w:trPr>
          <w:trHeight w:val="254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  <w:tr>
        <w:trPr>
          <w:trHeight w:val="435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0,00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1.1.</w:t>
            </w:r>
          </w:p>
        </w:tc>
        <w:tc>
          <w:tcPr>
            <w:tcW w:w="22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1 муниципальной программы</w:t>
            </w:r>
          </w:p>
        </w:tc>
        <w:tc>
          <w:tcPr>
            <w:tcW w:w="43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Всего                  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2 820,09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 том числе:           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бюджет города Шарыпово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940,03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2 820,09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краевой бюджет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федеральный бюджет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внебюджетные  источники               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1.2.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2 муниципальной программы</w:t>
            </w:r>
          </w:p>
        </w:tc>
        <w:tc>
          <w:tcPr>
            <w:tcW w:w="4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Всего                   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 том числе:            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бюджет города Шарыпово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краевой бюджет 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федеральный бюджет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30" w:hRule="atLeast"/>
        </w:trPr>
        <w:tc>
          <w:tcPr>
            <w:tcW w:w="5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внебюджетные  источники                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1.3.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Мероприятие 3 муниципальной программы</w:t>
            </w:r>
          </w:p>
        </w:tc>
        <w:tc>
          <w:tcPr>
            <w:tcW w:w="4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Всего                    </w:t>
            </w: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 том числе:           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бюджет города Шарыпово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краевой бюджет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федеральный бюджет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 </w:t>
            </w:r>
          </w:p>
        </w:tc>
      </w:tr>
      <w:tr>
        <w:trPr>
          <w:trHeight w:val="342" w:hRule="atLeast"/>
        </w:trPr>
        <w:tc>
          <w:tcPr>
            <w:tcW w:w="57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2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3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252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 xml:space="preserve">внебюджетные  источники                 </w:t>
            </w:r>
          </w:p>
        </w:tc>
        <w:tc>
          <w:tcPr>
            <w:tcW w:w="8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  <w:tc>
          <w:tcPr>
            <w:tcW w:w="173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0,00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type w:val="nextPage"/>
          <w:pgSz w:orient="landscape" w:w="16838" w:h="11906"/>
          <w:pgMar w:left="1134" w:right="1134" w:header="0" w:top="1701" w:footer="0" w:bottom="850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10206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№3</w:t>
      </w:r>
    </w:p>
    <w:p>
      <w:pPr>
        <w:pStyle w:val="Normal"/>
        <w:spacing w:lineRule="auto" w:line="240" w:before="0" w:after="0"/>
        <w:ind w:left="10206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Перечень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мероприятий муниципальной программы </w:t>
      </w:r>
    </w:p>
    <w:p>
      <w:pPr>
        <w:pStyle w:val="Normal"/>
        <w:shd w:val="clear" w:color="auto" w:fill="FFFFFF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>«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муниципального образования</w:t>
      </w:r>
    </w:p>
    <w:p>
      <w:pPr>
        <w:pStyle w:val="Normal"/>
        <w:shd w:val="clear" w:color="auto" w:fill="FFFFFF"/>
        <w:spacing w:lineRule="auto" w:line="240" w:before="0" w:after="0"/>
        <w:ind w:firstLine="85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«город Шарыпово Красноярского края»</w:t>
      </w:r>
      <w:r>
        <w:rPr>
          <w:rFonts w:eastAsia="SimSun" w:cs="Times New Roman" w:ascii="Times New Roman" w:hAnsi="Times New Roman"/>
          <w:kern w:val="2"/>
          <w:sz w:val="28"/>
          <w:szCs w:val="28"/>
          <w:lang w:eastAsia="ar-SA"/>
        </w:rPr>
        <w:t xml:space="preserve">» на 2018-2024 годы 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W w:w="15304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956"/>
        <w:gridCol w:w="1843"/>
        <w:gridCol w:w="1258"/>
        <w:gridCol w:w="29"/>
        <w:gridCol w:w="1407"/>
        <w:gridCol w:w="2835"/>
        <w:gridCol w:w="2975"/>
      </w:tblGrid>
      <w:tr>
        <w:trPr/>
        <w:tc>
          <w:tcPr>
            <w:tcW w:w="4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Наименование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Ответственный исполнитель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(Ф.И.О.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должность)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Ожидаемый результат 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(краткое описание)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Показатель результативности</w:t>
            </w:r>
          </w:p>
        </w:tc>
      </w:tr>
      <w:tr>
        <w:trPr/>
        <w:tc>
          <w:tcPr>
            <w:tcW w:w="4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>
          <w:trHeight w:val="437" w:hRule="atLeast"/>
        </w:trPr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shd w:fill="FFFFFF" w:val="clear"/>
                <w:lang w:eastAsia="en-US"/>
              </w:rPr>
              <w:t xml:space="preserve">Решением Шарыповского городского Совета депутатов от 27.11.2012 № 33-226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по результатам публичных слушаний</w:t>
            </w:r>
            <w:r>
              <w:rPr>
                <w:rStyle w:val="Style21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2"/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38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>
              <w:rPr>
                <w:rStyle w:val="Style21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3"/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>
              <w:rPr>
                <w:rStyle w:val="Style21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540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2.1. Благоустройство дворовых территорий многоквартирных домов. 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36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Выявление дворовых территорий, нуждающихся в благоустройстве и определение объемов работ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3- этап - 50% 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>
              <w:rPr>
                <w:rStyle w:val="Style21"/>
                <w:rFonts w:eastAsia="Times New Roman" w:cs="Times New Roman" w:ascii="Times New Roman" w:hAnsi="Times New Roman"/>
                <w:kern w:val="2"/>
                <w:sz w:val="28"/>
                <w:szCs w:val="28"/>
                <w:vertAlign w:val="superscript"/>
              </w:rPr>
              <w:footnoteReference w:id="6"/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>
        <w:trPr>
          <w:trHeight w:val="699" w:hRule="atLeast"/>
        </w:trPr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426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Разработка (обеспечение) инициативных жителей методическими рекомендациями «Как мой двор включить в программу».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2.1.4. Формирование земельного участка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  <w:r>
              <w:rPr>
                <w:rStyle w:val="Style21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7"/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5 %;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- 20%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2.2.Благоустройство общественных территорий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приведен в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приложение № 7 к</w:t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 программе 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>
              <w:rPr>
                <w:rStyle w:val="Style21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8"/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kern w:val="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Паспорт общественного пространства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20%;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- 30%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3- этап - 50%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2.2.3. Организация и проведение голосования по отбору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общественных территорий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Решение общественной комиссии по развитию городской среды об утверждении общественной территории, подлежащей благоустройству (протокол).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 xml:space="preserve">2.3. Благоустройство </w:t>
            </w: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>
            <w:pPr>
              <w:pStyle w:val="Normal"/>
              <w:spacing w:lineRule="auto" w:line="240" w:before="0" w:after="0"/>
              <w:ind w:firstLine="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по форме согласно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приложению</w:t>
            </w:r>
          </w:p>
          <w:p>
            <w:pPr>
              <w:pStyle w:val="Normal"/>
              <w:spacing w:lineRule="auto" w:line="240" w:before="0" w:after="0"/>
              <w:ind w:firstLine="33"/>
              <w:jc w:val="both"/>
              <w:rPr>
                <w:rFonts w:ascii="Times New Roman" w:hAnsi="Times New Roman" w:eastAsia="Times New Roman" w:cs="Times New Roman"/>
                <w:kern w:val="2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9 к</w:t>
            </w:r>
            <w:r>
              <w:rPr>
                <w:rFonts w:eastAsia="Times New Roman" w:cs="Times New Roman" w:ascii="Times New Roman" w:hAnsi="Times New Roman"/>
                <w:kern w:val="2"/>
                <w:sz w:val="28"/>
                <w:szCs w:val="28"/>
              </w:rPr>
              <w:t xml:space="preserve"> программе 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2.3.2. Заключение соглашений с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лагоустройстве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Благоустройство территорий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2.4. Благоустройство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b/>
                <w:sz w:val="28"/>
                <w:szCs w:val="28"/>
                <w:vertAlign w:val="superscript"/>
              </w:rPr>
              <w:footnoteReference w:id="9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сходов - не менее двух,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собраний - не менее двух.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>
              <w:rPr>
                <w:rStyle w:val="Style21"/>
                <w:rFonts w:eastAsia="Times New Roman" w:cs="Times New Roman" w:ascii="Times New Roman" w:hAnsi="Times New Roman"/>
                <w:sz w:val="28"/>
                <w:szCs w:val="28"/>
                <w:vertAlign w:val="superscript"/>
              </w:rPr>
              <w:footnoteReference w:id="10"/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10 к программе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Количество заключенных соглашений: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1 этап – 30%;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2- этап - 70%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15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для благоустройства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3.3. Привлечение жителей: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- к посадке зеленых насаждение;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>
            <w:pPr>
              <w:pStyle w:val="Normal"/>
              <w:widowControl w:val="false"/>
              <w:spacing w:lineRule="auto" w:line="240" w:before="0" w:after="0"/>
              <w:ind w:firstLine="284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и т.д.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Проведение субботников, не менее 2-ух, ежегодно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>
        <w:trPr/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284"/>
              <w:rPr>
                <w:rFonts w:ascii="Times New Roman" w:hAnsi="Times New Roman" w:eastAsia="Calibri" w:cs="Times New Roman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3.4.Участие в краевых мероприятиях, направленных на повышение </w:t>
            </w: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>
              <w:rPr>
                <w:rStyle w:val="Style21"/>
                <w:rFonts w:eastAsia="Times New Roman" w:cs="Times New Roman" w:ascii="Times New Roman" w:hAnsi="Times New Roman"/>
                <w:bCs/>
                <w:sz w:val="28"/>
                <w:szCs w:val="28"/>
                <w:vertAlign w:val="superscript"/>
              </w:rPr>
              <w:footnoteReference w:id="11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города Шарыпово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header="0" w:top="1701" w:footer="0" w:bottom="850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spacing w:lineRule="auto" w:line="240" w:before="0" w:after="0"/>
        <w:ind w:firstLine="5103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№4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tabs>
          <w:tab w:val="left" w:pos="0" w:leader="none"/>
        </w:tabs>
        <w:spacing w:lineRule="auto" w:line="259" w:before="0" w:after="16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>
      <w:pPr>
        <w:pStyle w:val="Normal"/>
        <w:spacing w:lineRule="auto" w:line="240" w:before="0" w:after="16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tabs>
          <w:tab w:val="left" w:pos="0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iCs/>
          <w:sz w:val="28"/>
          <w:szCs w:val="28"/>
          <w:lang w:eastAsia="en-US"/>
        </w:rPr>
        <w:t>1.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2. Разработка дизайн-проектов</w:t>
      </w:r>
    </w:p>
    <w:p>
      <w:pPr>
        <w:pStyle w:val="Normal"/>
        <w:tabs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>
        <w:rPr>
          <w:rFonts w:eastAsia="Calibri" w:cs="Times New Roman" w:ascii="Times New Roman" w:hAnsi="Times New Roman"/>
          <w:bCs/>
          <w:sz w:val="28"/>
          <w:szCs w:val="28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>
      <w:pPr>
        <w:pStyle w:val="Normal"/>
        <w:tabs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>
      <w:pPr>
        <w:pStyle w:val="Normal"/>
        <w:tabs>
          <w:tab w:val="left" w:pos="709" w:leader="none"/>
          <w:tab w:val="left" w:pos="1664" w:leader="none"/>
        </w:tabs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>
      <w:pPr>
        <w:pStyle w:val="Normal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  <w:lang w:eastAsia="en-US"/>
        </w:rPr>
      </w:pPr>
      <w:r>
        <w:rPr>
          <w:rFonts w:eastAsia="Times New Roman" w:cs="Calibri" w:ascii="Times New Roman" w:hAnsi="Times New Roman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>
      <w:pPr>
        <w:pStyle w:val="Normal"/>
        <w:spacing w:lineRule="auto" w:line="240" w:before="24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>
      <w:pPr>
        <w:pStyle w:val="Normal"/>
        <w:spacing w:lineRule="auto" w:line="240" w:before="0" w:after="24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3402" w:firstLine="709"/>
        <w:jc w:val="both"/>
        <w:outlineLvl w:val="0"/>
        <w:rPr>
          <w:rFonts w:ascii="Times New Roman" w:hAnsi="Times New Roman" w:eastAsia="Calibri" w:cs="Times New Roman"/>
          <w:lang w:eastAsia="en-US"/>
        </w:rPr>
      </w:pPr>
      <w:r>
        <w:rPr>
          <w:rFonts w:eastAsia="Calibri" w:cs="Times New Roman" w:ascii="Times New Roman" w:hAnsi="Times New Roman"/>
          <w:lang w:eastAsia="en-US"/>
        </w:rPr>
        <w:t>Приложение № 1</w:t>
      </w:r>
    </w:p>
    <w:p>
      <w:pPr>
        <w:pStyle w:val="Normal"/>
        <w:widowControl w:val="false"/>
        <w:spacing w:lineRule="auto" w:line="240" w:before="0" w:after="0"/>
        <w:ind w:left="3402" w:hanging="0"/>
        <w:jc w:val="both"/>
        <w:rPr>
          <w:rFonts w:ascii="Times New Roman" w:hAnsi="Times New Roman" w:eastAsia="Times New Roman" w:cs="Times New Roman"/>
          <w:lang w:eastAsia="en-US"/>
        </w:rPr>
      </w:pPr>
      <w:r>
        <w:rPr>
          <w:rFonts w:eastAsia="Times New Roman" w:cs="Times New Roman" w:ascii="Times New Roman" w:hAnsi="Times New Roman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>
      <w:pPr>
        <w:pStyle w:val="Normal"/>
        <w:widowControl w:val="false"/>
        <w:spacing w:lineRule="auto" w:line="240" w:before="0" w:after="0"/>
        <w:ind w:left="5529" w:hanging="0"/>
        <w:rPr>
          <w:rFonts w:ascii="Times New Roman" w:hAnsi="Times New Roman" w:eastAsia="Calibri" w:cs="Times New Roman"/>
          <w:sz w:val="20"/>
          <w:szCs w:val="20"/>
          <w:lang w:eastAsia="en-US"/>
        </w:rPr>
      </w:pPr>
      <w:r>
        <w:rPr>
          <w:rFonts w:eastAsia="Calibri" w:cs="Times New Roman" w:ascii="Times New Roman" w:hAnsi="Times New Roman"/>
          <w:sz w:val="20"/>
          <w:szCs w:val="20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Calibri" w:cs="Times New Roman"/>
          <w:sz w:val="16"/>
          <w:szCs w:val="16"/>
          <w:lang w:eastAsia="en-US"/>
        </w:rPr>
      </w:pPr>
      <w:r>
        <w:rPr>
          <w:rFonts w:eastAsia="Calibri" w:cs="Times New Roman" w:ascii="Times New Roman" w:hAnsi="Times New Roman"/>
          <w:sz w:val="16"/>
          <w:szCs w:val="16"/>
          <w:lang w:eastAsia="en-US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5476240" cy="3733800"/>
            <wp:effectExtent l="0" t="0" r="0" b="0"/>
            <wp:docPr id="5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2" wp14:anchorId="01D15624">
                <wp:simplePos x="0" y="0"/>
                <wp:positionH relativeFrom="column">
                  <wp:posOffset>3472815</wp:posOffset>
                </wp:positionH>
                <wp:positionV relativeFrom="paragraph">
                  <wp:posOffset>994410</wp:posOffset>
                </wp:positionV>
                <wp:extent cx="1858010" cy="629285"/>
                <wp:effectExtent l="0" t="0" r="28575" b="19050"/>
                <wp:wrapNone/>
                <wp:docPr id="1" name="Прямоугольник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240" cy="62856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4"/>
                              <w:spacing w:before="0" w:after="20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Ремонт тротуара, дворового проезда, ремонт дороги, образующей проезд к территории, прилегающей к многоквартирному дому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7" fillcolor="white" stroked="t" style="position:absolute;margin-left:273.45pt;margin-top:78.3pt;width:146.2pt;height:49.45pt" wp14:anchorId="01D15624">
                <w10:wrap type="square"/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34"/>
                        <w:spacing w:before="0" w:after="20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color w:val="000000"/>
                          <w:sz w:val="16"/>
                          <w:szCs w:val="16"/>
                          <w:lang w:eastAsia="en-US"/>
                        </w:rPr>
                        <w:t>Ремонт тротуара, дворового проезда, ремонт дороги, образующей проезд к территории, прилегающей к многоквартирному дому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54CC42C0">
                <wp:simplePos x="0" y="0"/>
                <wp:positionH relativeFrom="column">
                  <wp:posOffset>4007485</wp:posOffset>
                </wp:positionH>
                <wp:positionV relativeFrom="paragraph">
                  <wp:posOffset>1557020</wp:posOffset>
                </wp:positionV>
                <wp:extent cx="734060" cy="1438910"/>
                <wp:effectExtent l="57150" t="19050" r="66675" b="85725"/>
                <wp:wrapNone/>
                <wp:docPr id="3" name="Прямая соединительная 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4760" cy="143820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0.9pt,127.8pt" to="338.7pt,241pt" ID="Прямая соединительная линия 8" stroked="t" style="position:absolute;flip:x" wp14:anchorId="54CC42C0">
                <v:stroke color="black" weight="25560" joinstyle="round" endcap="flat"/>
                <v:fill o:detectmouseclick="t" on="false"/>
                <v:shadow on="t" obscured="f" color="black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5FEAC1E3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4060" cy="267335"/>
                <wp:effectExtent l="0" t="0" r="28575" b="19050"/>
                <wp:wrapNone/>
                <wp:docPr id="4" name="Овал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320" cy="266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0" stroked="t" style="position:absolute;margin-left:248.7pt;margin-top:241.05pt;width:57.7pt;height:20.95pt" wp14:anchorId="5FEAC1E3">
                <w10:wrap type="none"/>
                <v:fill o:detectmouseclick="t" on="false"/>
                <v:stroke color="black" weight="25560" joinstyle="round" endcap="flat"/>
              </v:oval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0" w:header="0" w:top="567" w:footer="0" w:bottom="426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widowControl w:val="false"/>
        <w:spacing w:lineRule="auto" w:line="240" w:before="0" w:after="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w:drawing>
          <wp:inline distT="0" distB="0" distL="0" distR="0">
            <wp:extent cx="5476240" cy="3562350"/>
            <wp:effectExtent l="0" t="0" r="0" b="0"/>
            <wp:docPr id="10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5" wp14:anchorId="0B8535A2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785" cy="353060"/>
                <wp:effectExtent l="0" t="0" r="19050" b="28575"/>
                <wp:wrapNone/>
                <wp:docPr id="6" name="Прямоугольник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20" cy="352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4"/>
                              <w:spacing w:before="0" w:after="20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Calibri" w:cs="Times New Roman" w:ascii="Times New Roman" w:hAnsi="Times New Roman"/>
                                <w:color w:val="000000"/>
                                <w:sz w:val="16"/>
                                <w:szCs w:val="16"/>
                                <w:lang w:eastAsia="en-US"/>
                              </w:rPr>
                              <w:t>Устройство пешеходных дорожек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3" fillcolor="white" stroked="t" style="position:absolute;margin-left:5.7pt;margin-top:198.35pt;width:124.45pt;height:27.7pt" wp14:anchorId="0B8535A2">
                <w10:wrap type="square"/>
                <v:fill o:detectmouseclick="t" type="solid" color2="black"/>
                <v:stroke color="black" weight="25560" joinstyle="round" endcap="flat"/>
                <v:textbox>
                  <w:txbxContent>
                    <w:p>
                      <w:pPr>
                        <w:pStyle w:val="Style34"/>
                        <w:spacing w:before="0" w:after="20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eastAsia="Calibri" w:cs="Times New Roman" w:ascii="Times New Roman" w:hAnsi="Times New Roman"/>
                          <w:color w:val="000000"/>
                          <w:sz w:val="16"/>
                          <w:szCs w:val="16"/>
                          <w:lang w:eastAsia="en-US"/>
                        </w:rPr>
                        <w:t>Устройство пешеходных дорожек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6D08069C">
                <wp:simplePos x="0" y="0"/>
                <wp:positionH relativeFrom="column">
                  <wp:posOffset>1677035</wp:posOffset>
                </wp:positionH>
                <wp:positionV relativeFrom="paragraph">
                  <wp:posOffset>2964180</wp:posOffset>
                </wp:positionV>
                <wp:extent cx="1504950" cy="381635"/>
                <wp:effectExtent l="38100" t="38100" r="76200" b="95250"/>
                <wp:wrapNone/>
                <wp:docPr id="8" name="Прямая соединительная 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800" cy="380880"/>
                        </a:xfrm>
                        <a:prstGeom prst="line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0.2pt,219.35pt" to="248.65pt,249.3pt" ID="Прямая соединительная линия 14" stroked="t" style="position:absolute" wp14:anchorId="6D08069C">
                <v:stroke color="black" weight="25560" joinstyle="round" endcap="flat"/>
                <v:fill o:detectmouseclick="t" on="false"/>
                <v:shadow on="t" obscured="f" color="black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7072E425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960" cy="248285"/>
                <wp:effectExtent l="0" t="0" r="28575" b="19050"/>
                <wp:wrapNone/>
                <wp:docPr id="9" name="Овал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160" cy="247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16" stroked="t" style="position:absolute;margin-left:211.2pt;margin-top:249.35pt;width:54.7pt;height:19.45pt" wp14:anchorId="7072E425">
                <w10:wrap type="none"/>
                <v:fill o:detectmouseclick="t" on="false"/>
                <v:stroke color="black" weight="25560" joinstyle="round" endcap="flat"/>
              </v:oval>
            </w:pict>
          </mc:Fallback>
        </mc:AlternateContent>
      </w:r>
    </w:p>
    <w:p>
      <w:pPr>
        <w:pStyle w:val="Normal"/>
        <w:widowControl w:val="false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№5</w:t>
      </w:r>
    </w:p>
    <w:p>
      <w:pPr>
        <w:pStyle w:val="Normal"/>
        <w:spacing w:lineRule="auto" w:line="240" w:before="0" w:after="0"/>
        <w:ind w:left="5103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Порядок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  <w:t>1.Общие положения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по благоустройству </w:t>
      </w:r>
      <w:bookmarkStart w:id="0" w:name="OLE_LINK2"/>
      <w:bookmarkStart w:id="1" w:name="OLE_LINK1"/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0"/>
      <w:bookmarkEnd w:id="1"/>
      <w:r>
        <w:rPr>
          <w:rFonts w:eastAsia="Times New Roman"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1.4. Минимальный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обеспечение освещения дворовых территорий;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установку скамеек;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установку урн для мусора.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1.5. Дополнительный перечень включает в себя: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оборудование детских площадок;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оборудование спортивных площадок;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устройство пешеходных дорожек.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1.6. Решение о финансовом (трудовом) участии заинтересованных лиц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>
      <w:pPr>
        <w:pStyle w:val="Normal"/>
        <w:spacing w:lineRule="auto" w:line="240" w:before="240" w:after="16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2. О формах финансового и трудового участия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 xml:space="preserve">заинтересованных лиц </w:t>
      </w:r>
      <w:r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eastAsia="Times New Roman" w:ascii="Times New Roman" w:hAnsi="Times New Roman"/>
          <w:sz w:val="28"/>
          <w:szCs w:val="28"/>
        </w:rPr>
        <w:t>заинтересованных лиц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предоставление строительных материалов, техники и т.д.</w:t>
      </w:r>
    </w:p>
    <w:p>
      <w:pPr>
        <w:pStyle w:val="Normal"/>
        <w:widowControl w:val="false"/>
        <w:spacing w:lineRule="auto" w:line="240" w:before="240" w:after="240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3.1. Сбор средств заинтересованных лиц 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>
        <w:rPr>
          <w:rFonts w:eastAsia="Times New Roman" w:cs="Calibri" w:ascii="Times New Roman" w:hAnsi="Times New Roman"/>
          <w:bCs/>
          <w:sz w:val="28"/>
          <w:szCs w:val="28"/>
        </w:rPr>
        <w:t xml:space="preserve">открытом в российской кредитной организации и </w:t>
      </w:r>
      <w:r>
        <w:rPr>
          <w:rFonts w:eastAsia="Times New Roman" w:cs="Calibri" w:ascii="Times New Roman" w:hAnsi="Times New Roman"/>
          <w:sz w:val="28"/>
          <w:szCs w:val="28"/>
        </w:rPr>
        <w:t xml:space="preserve">предназначенном для перечисления средств на благоустройство в целях </w:t>
      </w:r>
      <w:r>
        <w:rPr>
          <w:rFonts w:eastAsia="Times New Roman" w:cs="Times New Roman" w:ascii="Times New Roman" w:hAnsi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3.3. Средства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на выполнение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>
        <w:rPr>
          <w:rFonts w:eastAsia="Times New Roman" w:cs="Times New Roman" w:ascii="Times New Roman" w:hAnsi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края», либо равномерно до 10 декабря 2020 года.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 w:eastAsia="Times New Roman" w:cs="Calibri"/>
          <w:sz w:val="28"/>
          <w:szCs w:val="28"/>
        </w:rPr>
      </w:pPr>
      <w:r>
        <w:rPr>
          <w:rFonts w:eastAsia="Times New Roman" w:cs="Calibri" w:ascii="Times New Roman" w:hAnsi="Times New Roman"/>
          <w:sz w:val="28"/>
          <w:szCs w:val="28"/>
        </w:rPr>
        <w:t xml:space="preserve">3.4. Размер средств вносимых собственниками помещений на </w:t>
      </w:r>
      <w:r>
        <w:rPr>
          <w:rFonts w:eastAsia="Times New Roman" w:cs="Calibri" w:ascii="Times New Roman" w:hAnsi="Times New Roman"/>
          <w:color w:val="000000"/>
          <w:sz w:val="28"/>
          <w:szCs w:val="28"/>
        </w:rPr>
        <w:t xml:space="preserve">выполнение </w:t>
      </w:r>
      <w:r>
        <w:rPr>
          <w:rFonts w:eastAsia="Times New Roman" w:cs="Calibri" w:ascii="Times New Roman" w:hAnsi="Times New Roman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>3.5. </w:t>
      </w:r>
      <w:r>
        <w:rPr>
          <w:rFonts w:eastAsia="Times New Roman" w:cs="Calibri" w:ascii="Times New Roman" w:hAnsi="Times New Roman"/>
          <w:sz w:val="28"/>
          <w:szCs w:val="28"/>
        </w:rPr>
        <w:t>Организации, управляющие многоквартирными домами</w:t>
      </w:r>
      <w:r>
        <w:rPr>
          <w:rFonts w:eastAsia="Calibri" w:cs="Calibri" w:ascii="Times New Roman" w:hAnsi="Times New Roman"/>
          <w:sz w:val="28"/>
          <w:szCs w:val="28"/>
        </w:rPr>
        <w:t xml:space="preserve">, </w:t>
      </w:r>
      <w:r>
        <w:rPr>
          <w:rFonts w:eastAsia="Times New Roman" w:cs="Calibri" w:ascii="Times New Roman" w:hAnsi="Times New Roman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>
        <w:rPr>
          <w:rFonts w:eastAsia="Calibri" w:cs="Calibri" w:ascii="Times New Roman" w:hAnsi="Times New Roman"/>
          <w:sz w:val="28"/>
          <w:szCs w:val="28"/>
        </w:rPr>
        <w:t xml:space="preserve"> перечисляют денежные средства не позднее 01 апреля текущего года, на счет </w:t>
      </w:r>
      <w:r>
        <w:rPr>
          <w:rFonts w:eastAsia="Times New Roman" w:cs="Calibri" w:ascii="Times New Roman" w:hAnsi="Times New Roman"/>
          <w:sz w:val="28"/>
          <w:szCs w:val="28"/>
        </w:rPr>
        <w:t xml:space="preserve">МКУ «Служба городского хозяйства» </w:t>
      </w:r>
      <w:r>
        <w:rPr>
          <w:rFonts w:eastAsia="Calibri" w:cs="Calibri" w:ascii="Times New Roman" w:hAnsi="Times New Roman"/>
          <w:sz w:val="28"/>
          <w:szCs w:val="28"/>
        </w:rPr>
        <w:t xml:space="preserve">по коду бюджетной классификации «Прочие безвозмездные поступления в бюджеты городских округов» 133 2 07 04050 04 0000 180,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муниципальной программе «Формирование современной городской среды муниципального образования «город Шарыпово Красноярского края»</w:t>
      </w:r>
      <w:r>
        <w:rPr>
          <w:rFonts w:eastAsia="Calibri" w:cs="Calibri" w:ascii="Times New Roman" w:hAnsi="Times New Roman"/>
          <w:sz w:val="28"/>
          <w:szCs w:val="28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Calibri" w:cs="Calibri"/>
          <w:sz w:val="28"/>
          <w:szCs w:val="28"/>
        </w:rPr>
      </w:pPr>
      <w:r>
        <w:rPr>
          <w:rFonts w:eastAsia="Calibri" w:cs="Calibri" w:ascii="Times New Roman" w:hAnsi="Times New Roman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Красноярского края (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www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gorodsharypovo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.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  <w:lang w:val="en-US"/>
        </w:rPr>
        <w:t>ru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4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№6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b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b/>
          <w:sz w:val="28"/>
          <w:szCs w:val="28"/>
          <w:lang w:eastAsia="en-US"/>
        </w:rPr>
      </w:r>
    </w:p>
    <w:tbl>
      <w:tblPr>
        <w:tblW w:w="16152" w:type="dxa"/>
        <w:jc w:val="left"/>
        <w:tblInd w:w="-709" w:type="dxa"/>
        <w:tblBorders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66"/>
        <w:gridCol w:w="3468"/>
        <w:gridCol w:w="1417"/>
        <w:gridCol w:w="1675"/>
        <w:gridCol w:w="1713"/>
        <w:gridCol w:w="1629"/>
        <w:gridCol w:w="1431"/>
        <w:gridCol w:w="1447"/>
        <w:gridCol w:w="1158"/>
        <w:gridCol w:w="1646"/>
      </w:tblGrid>
      <w:tr>
        <w:trPr>
          <w:trHeight w:val="300" w:hRule="atLeast"/>
        </w:trPr>
        <w:tc>
          <w:tcPr>
            <w:tcW w:w="16150" w:type="dxa"/>
            <w:gridSpan w:val="10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lang w:eastAsia="en-US"/>
              </w:rPr>
            </w:pPr>
            <w:r>
              <w:rPr>
                <w:rFonts w:eastAsia="Calibri" w:cs="Times New Roman" w:ascii="Times New Roman" w:hAnsi="Times New Roman"/>
                <w:lang w:eastAsia="en-US"/>
              </w:rPr>
              <w:t>Адресный перечень дворовых территорий, нуждающихся в благоустройстве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Calibri" w:cs="Times New Roman" w:ascii="Times New Roman" w:hAnsi="Times New Roman"/>
                <w:lang w:eastAsia="en-US"/>
              </w:rPr>
              <w:t>и подлежащих благоустройству в период 2020-2024г.г.</w:t>
            </w:r>
          </w:p>
        </w:tc>
      </w:tr>
      <w:tr>
        <w:trPr>
          <w:trHeight w:val="300" w:hRule="exact"/>
        </w:trPr>
        <w:tc>
          <w:tcPr>
            <w:tcW w:w="56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6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7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75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13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29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31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47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5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6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480" w:hRule="atLeast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</w:rPr>
              <w:t>п/п</w:t>
            </w:r>
          </w:p>
        </w:tc>
        <w:tc>
          <w:tcPr>
            <w:tcW w:w="3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Вид трудового участия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Наименование управляющей организации</w:t>
            </w:r>
          </w:p>
        </w:tc>
      </w:tr>
      <w:tr>
        <w:trPr>
          <w:trHeight w:val="1186" w:hRule="atLeast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151" w:hRule="atLeast"/>
        </w:trPr>
        <w:tc>
          <w:tcPr>
            <w:tcW w:w="56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6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тыс. руб.</w:t>
            </w:r>
          </w:p>
        </w:tc>
        <w:tc>
          <w:tcPr>
            <w:tcW w:w="14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4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atLeast"/>
        </w:trPr>
        <w:tc>
          <w:tcPr>
            <w:tcW w:w="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16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17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162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14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164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10</w:t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ШМРО ПАО "Красноярскэнергосбыт"</w:t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4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0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 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74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98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21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51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7-й, д.9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29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7-й, д.10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7-й, д.12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7-й, д.15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58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58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549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 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ООО "Меридиан"</w:t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1-й, д.4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12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7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13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78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0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ООО УК "Вера"</w:t>
            </w:r>
          </w:p>
        </w:tc>
      </w:tr>
      <w:tr>
        <w:trPr>
          <w:trHeight w:val="442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36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88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ООО УК "Инновация"</w:t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4-й, д.27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ООО УК "Восточная"</w:t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ООО УК "Западная"</w:t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6-й, д.52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3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7-й, д.13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5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7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ООО "ПЖКХ"</w:t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3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22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 18А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96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74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36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 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2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48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68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3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3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64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94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69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48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68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ООО "Сервис-Ком"</w:t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ООО "ДРЭУ"</w:t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 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58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3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0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83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67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ООО УК "Диалог"</w:t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8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9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50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65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167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04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222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129" w:hRule="atLeast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color="000000" w:fill="FFFFF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color w:val="000000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300" w:hRule="exact"/>
        </w:trPr>
        <w:tc>
          <w:tcPr>
            <w:tcW w:w="566" w:type="dxa"/>
            <w:tcBorders>
              <w:top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3468" w:type="dxa"/>
            <w:tcBorders>
              <w:top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17" w:type="dxa"/>
            <w:tcBorders>
              <w:top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75" w:type="dxa"/>
            <w:tcBorders>
              <w:top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13" w:type="dxa"/>
            <w:tcBorders>
              <w:top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29" w:type="dxa"/>
            <w:tcBorders>
              <w:top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31" w:type="dxa"/>
            <w:tcBorders>
              <w:top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47" w:type="dxa"/>
            <w:tcBorders>
              <w:top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58" w:type="dxa"/>
            <w:tcBorders>
              <w:top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46" w:type="dxa"/>
            <w:tcBorders>
              <w:top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420" w:hRule="atLeast"/>
        </w:trPr>
        <w:tc>
          <w:tcPr>
            <w:tcW w:w="16150" w:type="dxa"/>
            <w:gridSpan w:val="10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Примечание:</w:t>
            </w:r>
          </w:p>
        </w:tc>
      </w:tr>
      <w:tr>
        <w:trPr>
          <w:trHeight w:val="270" w:hRule="atLeast"/>
        </w:trPr>
        <w:tc>
          <w:tcPr>
            <w:tcW w:w="16150" w:type="dxa"/>
            <w:gridSpan w:val="10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&lt;*&gt; Виды трудового участия:</w:t>
            </w:r>
          </w:p>
        </w:tc>
      </w:tr>
      <w:tr>
        <w:trPr>
          <w:trHeight w:val="735" w:hRule="atLeast"/>
        </w:trPr>
        <w:tc>
          <w:tcPr>
            <w:tcW w:w="16150" w:type="dxa"/>
            <w:gridSpan w:val="10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>
        <w:trPr>
          <w:trHeight w:val="360" w:hRule="atLeast"/>
        </w:trPr>
        <w:tc>
          <w:tcPr>
            <w:tcW w:w="16150" w:type="dxa"/>
            <w:gridSpan w:val="10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header="0" w:top="1701" w:footer="0" w:bottom="851" w:gutter="0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widowControl w:val="false"/>
        <w:spacing w:lineRule="auto" w:line="240" w:before="240" w:after="0"/>
        <w:ind w:left="9356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№7</w:t>
      </w:r>
    </w:p>
    <w:p>
      <w:pPr>
        <w:pStyle w:val="Normal"/>
        <w:tabs>
          <w:tab w:val="left" w:pos="9356" w:leader="none"/>
        </w:tabs>
        <w:spacing w:lineRule="auto" w:line="240" w:before="0" w:after="0"/>
        <w:ind w:left="9356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tbl>
      <w:tblPr>
        <w:tblW w:w="15903" w:type="dxa"/>
        <w:jc w:val="left"/>
        <w:tblInd w:w="-426" w:type="dxa"/>
        <w:tblBorders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67"/>
        <w:gridCol w:w="1134"/>
        <w:gridCol w:w="980"/>
        <w:gridCol w:w="863"/>
        <w:gridCol w:w="1290"/>
        <w:gridCol w:w="1275"/>
        <w:gridCol w:w="850"/>
        <w:gridCol w:w="1"/>
        <w:gridCol w:w="1288"/>
        <w:gridCol w:w="2"/>
        <w:gridCol w:w="1132"/>
        <w:gridCol w:w="2"/>
        <w:gridCol w:w="1403"/>
        <w:gridCol w:w="1"/>
        <w:gridCol w:w="1274"/>
        <w:gridCol w:w="2"/>
        <w:gridCol w:w="1273"/>
        <w:gridCol w:w="2"/>
        <w:gridCol w:w="1274"/>
        <w:gridCol w:w="1"/>
        <w:gridCol w:w="1288"/>
      </w:tblGrid>
      <w:tr>
        <w:trPr>
          <w:trHeight w:val="315" w:hRule="atLeast"/>
        </w:trPr>
        <w:tc>
          <w:tcPr>
            <w:tcW w:w="15902" w:type="dxa"/>
            <w:gridSpan w:val="21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2020-2024г.г</w:t>
            </w:r>
          </w:p>
        </w:tc>
      </w:tr>
      <w:tr>
        <w:trPr>
          <w:trHeight w:val="315" w:hRule="exact"/>
        </w:trPr>
        <w:tc>
          <w:tcPr>
            <w:tcW w:w="5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980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63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90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51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90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404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6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75" w:type="dxa"/>
            <w:gridSpan w:val="2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288" w:type="dxa"/>
            <w:tcBorders/>
            <w:shd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6392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>
        <w:trPr>
          <w:trHeight w:val="1920" w:hRule="atLeast"/>
        </w:trPr>
        <w:tc>
          <w:tcPr>
            <w:tcW w:w="5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9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13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40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6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7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12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</w:tr>
      <w:tr>
        <w:trPr>
          <w:trHeight w:val="30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14</w:t>
            </w:r>
          </w:p>
        </w:tc>
      </w:tr>
      <w:tr>
        <w:trPr>
          <w:trHeight w:val="153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78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562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  <w:tr>
        <w:trPr>
          <w:trHeight w:val="1275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>
        <w:trPr>
          <w:trHeight w:val="1020" w:hRule="atLeast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</w:r>
          </w:p>
        </w:tc>
        <w:tc>
          <w:tcPr>
            <w:tcW w:w="98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90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4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5" w:type="dxa"/>
            <w:gridSpan w:val="2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sectPr>
          <w:footnotePr>
            <w:numFmt w:val="decimal"/>
          </w:footnotePr>
          <w:type w:val="nextPage"/>
          <w:pgSz w:orient="landscape" w:w="16838" w:h="11906"/>
          <w:pgMar w:left="1134" w:right="1134" w:header="0" w:top="1701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widowControl w:val="false"/>
        <w:spacing w:lineRule="auto" w:line="240" w:before="0" w:after="0"/>
        <w:ind w:left="5103" w:hanging="0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bookmarkStart w:id="2" w:name="Par1034"/>
      <w:bookmarkStart w:id="3" w:name="P41"/>
      <w:bookmarkEnd w:id="2"/>
      <w:bookmarkEnd w:id="3"/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№8</w:t>
      </w:r>
    </w:p>
    <w:p>
      <w:pPr>
        <w:pStyle w:val="Normal"/>
        <w:spacing w:lineRule="auto" w:line="259" w:before="0" w:after="160"/>
        <w:ind w:left="5103" w:hanging="0"/>
        <w:jc w:val="both"/>
        <w:rPr>
          <w:rFonts w:ascii="Calibri" w:hAnsi="Calibri" w:eastAsia="Calibri" w:cs="Times New Roman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Установка скамеек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9525" distL="0" distR="9525">
            <wp:extent cx="2847975" cy="2847975"/>
            <wp:effectExtent l="0" t="0" r="0" b="0"/>
            <wp:docPr id="11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</w:t>
      </w:r>
      <w:r>
        <w:rPr>
          <w:rFonts w:eastAsia="Calibri" w:cs="Times New Roman"/>
        </w:rPr>
        <w:t xml:space="preserve">              </w:t>
      </w:r>
      <w:r>
        <w:rPr/>
        <w:drawing>
          <wp:inline distT="0" distB="9525" distL="0" distR="9525">
            <wp:extent cx="2257425" cy="2257425"/>
            <wp:effectExtent l="0" t="0" r="0" b="0"/>
            <wp:docPr id="12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>
          <w:rFonts w:eastAsia="Calibri" w:cs="Times New Roman"/>
        </w:rPr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Установка урн</w:t>
      </w:r>
    </w:p>
    <w:p>
      <w:pPr>
        <w:pStyle w:val="Normal"/>
        <w:spacing w:lineRule="auto" w:line="259" w:before="0" w:after="160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/>
        <w:drawing>
          <wp:inline distT="0" distB="9525" distL="0" distR="0">
            <wp:extent cx="1657350" cy="2486025"/>
            <wp:effectExtent l="0" t="0" r="0" b="0"/>
            <wp:docPr id="13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                  </w:t>
      </w:r>
      <w:r>
        <w:rPr/>
        <w:drawing>
          <wp:inline distT="0" distB="9525" distL="0" distR="0">
            <wp:extent cx="2752725" cy="2752725"/>
            <wp:effectExtent l="0" t="0" r="0" b="0"/>
            <wp:docPr id="14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Обеспечение освещения дворовых территорий</w:t>
      </w:r>
    </w:p>
    <w:p>
      <w:pPr>
        <w:pStyle w:val="Normal"/>
        <w:spacing w:lineRule="auto" w:line="259" w:before="0" w:after="160"/>
        <w:rPr>
          <w:rFonts w:ascii="Calibri" w:hAnsi="Calibri" w:eastAsia="Calibri" w:cs="Times New Roman"/>
        </w:rPr>
      </w:pPr>
      <w:r>
        <w:rPr/>
        <w:drawing>
          <wp:inline distT="0" distB="0" distL="0" distR="0">
            <wp:extent cx="2762250" cy="2762250"/>
            <wp:effectExtent l="0" t="0" r="0" b="0"/>
            <wp:docPr id="15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  <w:r>
        <w:rPr/>
        <w:drawing>
          <wp:inline distT="0" distB="0" distL="0" distR="0">
            <wp:extent cx="2724150" cy="2724150"/>
            <wp:effectExtent l="0" t="0" r="0" b="0"/>
            <wp:docPr id="16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Ремонт дворовых проездов</w:t>
      </w:r>
    </w:p>
    <w:p>
      <w:pPr>
        <w:pStyle w:val="Normal"/>
        <w:spacing w:lineRule="auto" w:line="259" w:before="0" w:after="160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sectPr>
          <w:footnotePr>
            <w:numFmt w:val="decimal"/>
          </w:footnotePr>
          <w:type w:val="nextPage"/>
          <w:pgSz w:w="11906" w:h="16838"/>
          <w:pgMar w:left="1701" w:right="851" w:header="0" w:top="1134" w:footer="0" w:bottom="1134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59" w:before="0" w:after="160"/>
        <w:rPr>
          <w:rFonts w:ascii="Calibri" w:hAnsi="Calibri" w:eastAsia="Calibri" w:cs="Times New Roman"/>
          <w:lang w:eastAsia="en-US"/>
        </w:rPr>
      </w:pPr>
      <w:r>
        <w:rPr>
          <w:rFonts w:eastAsia="Calibri" w:cs="Times New Roman"/>
        </w:rPr>
        <w:t xml:space="preserve">             </w:t>
      </w:r>
      <w:r>
        <w:rPr/>
        <w:drawing>
          <wp:inline distT="0" distB="635" distL="0" distR="0">
            <wp:extent cx="5182235" cy="3066415"/>
            <wp:effectExtent l="0" t="0" r="0" b="0"/>
            <wp:docPr id="17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</w:rPr>
        <w:t xml:space="preserve"> </w:t>
      </w:r>
    </w:p>
    <w:p>
      <w:pPr>
        <w:pStyle w:val="Normal"/>
        <w:widowControl w:val="false"/>
        <w:spacing w:lineRule="auto" w:line="240" w:before="0" w:after="0"/>
        <w:ind w:left="10348" w:firstLine="709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№9</w:t>
      </w:r>
    </w:p>
    <w:p>
      <w:pPr>
        <w:pStyle w:val="Normal"/>
        <w:spacing w:lineRule="auto" w:line="240" w:before="0" w:after="0"/>
        <w:ind w:left="10348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pPr w:bottomFromText="0" w:horzAnchor="page" w:leftFromText="180" w:rightFromText="180" w:tblpX="578" w:tblpY="199" w:topFromText="0" w:vertAnchor="text"/>
        <w:tblW w:w="15446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  <w:tblLook w:noVBand="0" w:val="0000" w:noHBand="0" w:lastColumn="0" w:firstColumn="0" w:lastRow="0" w:firstRow="0"/>
      </w:tblPr>
      <w:tblGrid>
        <w:gridCol w:w="826"/>
        <w:gridCol w:w="1606"/>
        <w:gridCol w:w="1370"/>
        <w:gridCol w:w="1559"/>
        <w:gridCol w:w="1276"/>
        <w:gridCol w:w="1"/>
        <w:gridCol w:w="1690"/>
        <w:gridCol w:w="2"/>
        <w:gridCol w:w="1122"/>
        <w:gridCol w:w="2"/>
        <w:gridCol w:w="1086"/>
        <w:gridCol w:w="1"/>
        <w:gridCol w:w="45"/>
        <w:gridCol w:w="992"/>
        <w:gridCol w:w="1"/>
        <w:gridCol w:w="2"/>
        <w:gridCol w:w="1131"/>
        <w:gridCol w:w="1"/>
        <w:gridCol w:w="2"/>
        <w:gridCol w:w="1130"/>
        <w:gridCol w:w="2"/>
        <w:gridCol w:w="1"/>
        <w:gridCol w:w="1597"/>
      </w:tblGrid>
      <w:tr>
        <w:trPr>
          <w:trHeight w:val="531" w:hRule="atLeast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58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4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>
        <w:trPr>
          <w:trHeight w:val="2287" w:hRule="atLeast"/>
        </w:trPr>
        <w:tc>
          <w:tcPr>
            <w:tcW w:w="8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(муниципаль-ного района/ городского округа</w:t>
            </w:r>
            <w:r>
              <w:rPr>
                <w:rFonts w:eastAsia="Times New Roman" w:cs="Calibri" w:ascii="Times New Roman" w:hAnsi="Times New Roman"/>
                <w:sz w:val="20"/>
                <w:szCs w:val="20"/>
              </w:rPr>
              <w:t>/сельского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08" w:hanging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2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8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039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134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9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326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</w:tr>
      <w:tr>
        <w:trPr>
          <w:trHeight w:val="326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3520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3463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3756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2152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3224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3951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3029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5897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11287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386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43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5720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219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356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7327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8710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4252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Calibri" w:hAnsi="Calibri" w:eastAsia="Times New Roman" w:cs="Calibri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МТМ, в 43 м к юго западу от ж/д, д. №7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 xml:space="preserve">строительство </w:t>
            </w: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765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628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735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2750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3795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529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802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5517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3249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4171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340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815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40 000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42 379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667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543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10384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469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4475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645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1125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71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638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102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2318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1482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770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319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1208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3398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2815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282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2789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986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372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20"/>
                <w:szCs w:val="20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18177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429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566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2514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1405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1559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223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291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608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146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1175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995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1491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175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502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1594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1330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454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199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165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1581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201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151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имеется</w:t>
            </w:r>
          </w:p>
        </w:tc>
      </w:tr>
      <w:tr>
        <w:trPr>
          <w:trHeight w:val="409" w:hRule="atLeast"/>
        </w:trPr>
        <w:tc>
          <w:tcPr>
            <w:tcW w:w="1544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b/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202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797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203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47433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  <w:tr>
        <w:trPr>
          <w:trHeight w:val="409" w:hRule="atLeast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left" w:pos="360" w:leader="none"/>
                <w:tab w:val="center" w:pos="529" w:leader="none"/>
              </w:tabs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30575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</w:rPr>
            </w:pPr>
            <w:r>
              <w:rPr>
                <w:rFonts w:eastAsia="Calibri" w:cs="Times New Roman" w:eastAsiaTheme="minorHAnsi" w:ascii="Times New Roman" w:hAnsi="Times New Roman"/>
                <w:sz w:val="16"/>
                <w:szCs w:val="16"/>
              </w:rPr>
            </w:r>
          </w:p>
        </w:tc>
        <w:tc>
          <w:tcPr>
            <w:tcW w:w="1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Times New Roman" w:eastAsiaTheme="minorHAnsi"/>
                <w:sz w:val="16"/>
                <w:szCs w:val="16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sz w:val="16"/>
                <w:szCs w:val="16"/>
              </w:rPr>
              <w:t>отсутствует</w:t>
            </w:r>
          </w:p>
        </w:tc>
      </w:tr>
    </w:tbl>
    <w:p>
      <w:pPr>
        <w:pStyle w:val="Normal"/>
        <w:widowControl w:val="false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Приложение №10</w:t>
      </w:r>
    </w:p>
    <w:p>
      <w:pPr>
        <w:pStyle w:val="Normal"/>
        <w:spacing w:lineRule="auto" w:line="240" w:before="0" w:after="0"/>
        <w:ind w:left="9639" w:hanging="0"/>
        <w:rPr>
          <w:rFonts w:ascii="Times New Roman" w:hAnsi="Times New Roman" w:eastAsia="Times New Roman" w:cs="Times New Roman"/>
          <w:b/>
          <w:b/>
          <w:sz w:val="28"/>
          <w:szCs w:val="28"/>
          <w:lang w:eastAsia="en-US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 Шарыпово Красноярского края»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Паспорт дворовой территории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noVBand="0" w:val="0000" w:noHBand="0" w:lastColumn="0" w:firstColumn="0" w:lastRow="0" w:firstRow="0"/>
      </w:tblPr>
      <w:tblGrid>
        <w:gridCol w:w="2551"/>
        <w:gridCol w:w="1416"/>
        <w:gridCol w:w="1561"/>
        <w:gridCol w:w="992"/>
        <w:gridCol w:w="1559"/>
        <w:gridCol w:w="1135"/>
        <w:gridCol w:w="1700"/>
        <w:gridCol w:w="1701"/>
        <w:gridCol w:w="1418"/>
        <w:gridCol w:w="1133"/>
      </w:tblGrid>
      <w:tr>
        <w:trPr>
          <w:trHeight w:val="231" w:hRule="atLeast"/>
        </w:trPr>
        <w:tc>
          <w:tcPr>
            <w:tcW w:w="151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>
        <w:trPr>
          <w:trHeight w:val="1618" w:hRule="atLeast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муниципального образования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(муниципального района/городского округа/</w:t>
            </w:r>
            <w:r>
              <w:rPr>
                <w:rFonts w:eastAsia="Calibri" w:cs="Times New Roman" w:ascii="Times New Roman" w:hAnsi="Times New Roman"/>
                <w:sz w:val="20"/>
                <w:lang w:eastAsia="en-US"/>
              </w:rPr>
              <w:t>сельского поселения</w:t>
            </w: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>
        <w:trPr/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0"/>
        </w:rPr>
      </w:pPr>
      <w:r>
        <w:rPr>
          <w:rFonts w:eastAsia="Times New Roman" w:cs="Times New Roman" w:ascii="Times New Roman" w:hAnsi="Times New Roman"/>
          <w:sz w:val="24"/>
          <w:szCs w:val="20"/>
        </w:rPr>
      </w:r>
    </w:p>
    <w:tbl>
      <w:tblPr>
        <w:tblW w:w="15168" w:type="dxa"/>
        <w:jc w:val="left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noVBand="0" w:val="0000" w:noHBand="0" w:lastColumn="0" w:firstColumn="0" w:lastRow="0" w:firstRow="0"/>
      </w:tblPr>
      <w:tblGrid>
        <w:gridCol w:w="1560"/>
        <w:gridCol w:w="1274"/>
        <w:gridCol w:w="1278"/>
        <w:gridCol w:w="708"/>
        <w:gridCol w:w="851"/>
        <w:gridCol w:w="1843"/>
        <w:gridCol w:w="141"/>
        <w:gridCol w:w="2412"/>
        <w:gridCol w:w="706"/>
        <w:gridCol w:w="1701"/>
        <w:gridCol w:w="567"/>
        <w:gridCol w:w="2126"/>
      </w:tblGrid>
      <w:tr>
        <w:trPr>
          <w:trHeight w:val="171" w:hRule="atLeast"/>
        </w:trPr>
        <w:tc>
          <w:tcPr>
            <w:tcW w:w="1006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Количественные характеристики</w:t>
            </w:r>
          </w:p>
        </w:tc>
      </w:tr>
      <w:tr>
        <w:trPr>
          <w:trHeight w:val="230" w:hRule="atLeast"/>
        </w:trPr>
        <w:tc>
          <w:tcPr>
            <w:tcW w:w="10067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количество квартир, шт.</w:t>
            </w:r>
          </w:p>
        </w:tc>
      </w:tr>
      <w:tr>
        <w:trPr>
          <w:trHeight w:val="230" w:hRule="atLeast"/>
        </w:trPr>
        <w:tc>
          <w:tcPr>
            <w:tcW w:w="10067" w:type="dxa"/>
            <w:gridSpan w:val="8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0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16</w:t>
            </w:r>
          </w:p>
        </w:tc>
      </w:tr>
      <w:tr>
        <w:trPr>
          <w:trHeight w:val="236" w:hRule="atLeast"/>
        </w:trPr>
        <w:tc>
          <w:tcPr>
            <w:tcW w:w="151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>
        <w:trPr>
          <w:trHeight w:val="296" w:hRule="atLeast"/>
        </w:trPr>
        <w:tc>
          <w:tcPr>
            <w:tcW w:w="15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552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59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259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26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1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42" w:hRule="atLeast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3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20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noVBand="0" w:val="0000" w:noHBand="0" w:lastColumn="0" w:firstColumn="0" w:lastRow="0" w:firstRow="0"/>
      </w:tblPr>
      <w:tblGrid>
        <w:gridCol w:w="2267"/>
        <w:gridCol w:w="1700"/>
        <w:gridCol w:w="1701"/>
        <w:gridCol w:w="2977"/>
        <w:gridCol w:w="1843"/>
        <w:gridCol w:w="1512"/>
        <w:gridCol w:w="3167"/>
      </w:tblGrid>
      <w:tr>
        <w:trPr>
          <w:trHeight w:val="28" w:hRule="atLeast"/>
        </w:trPr>
        <w:tc>
          <w:tcPr>
            <w:tcW w:w="151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Оборудование дома инженерными системами</w:t>
            </w:r>
          </w:p>
        </w:tc>
      </w:tr>
      <w:tr>
        <w:trPr>
          <w:trHeight w:val="230" w:hRule="atLeast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</w:t>
              <w:br/>
              <w:t>/неудовлетворительное)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>
        <w:trPr>
          <w:trHeight w:val="405" w:hRule="atLeast"/>
        </w:trPr>
        <w:tc>
          <w:tcPr>
            <w:tcW w:w="22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9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31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27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noVBand="0" w:val="0000" w:noHBand="0" w:lastColumn="0" w:firstColumn="0" w:lastRow="0" w:firstRow="0"/>
      </w:tblPr>
      <w:tblGrid>
        <w:gridCol w:w="4677"/>
        <w:gridCol w:w="1843"/>
        <w:gridCol w:w="1701"/>
        <w:gridCol w:w="2410"/>
        <w:gridCol w:w="1841"/>
        <w:gridCol w:w="2695"/>
      </w:tblGrid>
      <w:tr>
        <w:trPr>
          <w:trHeight w:val="170" w:hRule="atLeast"/>
        </w:trPr>
        <w:tc>
          <w:tcPr>
            <w:tcW w:w="15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Сведения о дворовой территории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Назначение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>
        <w:trPr>
          <w:trHeight w:val="230" w:hRule="atLeast"/>
        </w:trPr>
        <w:tc>
          <w:tcPr>
            <w:tcW w:w="46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7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41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184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269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</w:r>
          </w:p>
        </w:tc>
      </w:tr>
      <w:tr>
        <w:trPr>
          <w:trHeight w:val="104" w:hRule="atLeast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tbl>
      <w:tblPr>
        <w:tblW w:w="15168" w:type="dxa"/>
        <w:jc w:val="left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noVBand="0" w:val="0000" w:noHBand="0" w:lastColumn="0" w:firstColumn="0" w:lastRow="0" w:firstRow="0"/>
      </w:tblPr>
      <w:tblGrid>
        <w:gridCol w:w="2267"/>
        <w:gridCol w:w="1561"/>
        <w:gridCol w:w="1276"/>
        <w:gridCol w:w="1418"/>
        <w:gridCol w:w="1134"/>
        <w:gridCol w:w="1560"/>
        <w:gridCol w:w="1418"/>
        <w:gridCol w:w="4532"/>
      </w:tblGrid>
      <w:tr>
        <w:trPr>
          <w:trHeight w:val="231" w:hRule="atLeast"/>
        </w:trPr>
        <w:tc>
          <w:tcPr>
            <w:tcW w:w="151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Характеристики благоустройства</w:t>
            </w:r>
          </w:p>
        </w:tc>
      </w:tr>
      <w:tr>
        <w:trPr>
          <w:trHeight w:val="1695" w:hRule="atLeast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>
        <w:trPr/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0"/>
                <w:szCs w:val="20"/>
              </w:rPr>
              <w:t>41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/>
      </w:pPr>
      <w:r>
        <w:rPr/>
      </w:r>
    </w:p>
    <w:sectPr>
      <w:footnotePr>
        <w:numFmt w:val="decimal"/>
      </w:footnotePr>
      <w:type w:val="nextPage"/>
      <w:pgSz w:orient="landscape" w:w="16838" w:h="11906"/>
      <w:pgMar w:left="1134" w:right="1134" w:header="0" w:top="170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urier New">
    <w:charset w:val="01"/>
    <w:family w:val="roman"/>
    <w:pitch w:val="variable"/>
  </w:font>
  <w:font w:name="Tahoma">
    <w:charset w:val="01"/>
    <w:family w:val="roman"/>
    <w:pitch w:val="variable"/>
  </w:font>
  <w:font w:name="Verdana"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rmal"/>
        <w:spacing w:lineRule="auto" w:line="240" w:before="0" w:after="0"/>
        <w:ind w:firstLine="426"/>
        <w:jc w:val="both"/>
        <w:rPr>
          <w:rFonts w:ascii="Times New Roman" w:hAnsi="Times New Roman"/>
        </w:rPr>
      </w:pPr>
      <w:r>
        <w:rPr>
          <w:rStyle w:val="Style22"/>
        </w:rPr>
        <w:footnoteRef/>
      </w:r>
      <w:r>
        <w:rPr>
          <w:rStyle w:val="FootnoteCharacters"/>
          <w:rFonts w:ascii="Times New Roman" w:hAnsi="Times New Roman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Согласно Федеральному закону от 06.10.2003 № 131-ФЗ к вопросам местного значения городских округов (п.25 ст.16) и поселений (п.19 ст.14) отнесено утверждение Правила благоустройства городских округов и поселений, соответственно. 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Правила благоустройства территорий поселений, городских округов должны быть приведены в 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>
      <w:pPr>
        <w:pStyle w:val="Normal"/>
        <w:spacing w:lineRule="auto" w:line="240" w:before="0" w:after="0"/>
        <w:ind w:firstLine="540"/>
        <w:jc w:val="both"/>
        <w:rPr/>
      </w:pPr>
      <w:r>
        <w:rPr>
          <w:rFonts w:ascii="Times New Roman" w:hAnsi="Times New Roman"/>
        </w:rPr>
        <w:tab/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3"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Style w:val="Style22"/>
        </w:rPr>
        <w:footnoteRef/>
      </w:r>
      <w:r>
        <w:rPr>
          <w:rStyle w:val="FootnoteCharacters"/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концепции отражается настоящее и будущее территории 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>
      <w:pPr>
        <w:pStyle w:val="Normal"/>
        <w:widowControl w:val="false"/>
        <w:spacing w:lineRule="auto" w:line="240" w:before="0" w:after="0"/>
        <w:ind w:firstLine="540"/>
        <w:jc w:val="both"/>
        <w:rPr/>
      </w:pPr>
      <w:r>
        <w:rPr>
          <w:rFonts w:ascii="Times New Roman" w:hAnsi="Times New Roman"/>
          <w:sz w:val="24"/>
          <w:szCs w:val="24"/>
        </w:rPr>
        <w:tab/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</w:footnote>
  <w:footnote w:id="4">
    <w:p>
      <w:pPr>
        <w:pStyle w:val="Normal"/>
        <w:numPr>
          <w:ilvl w:val="0"/>
          <w:numId w:val="0"/>
        </w:numPr>
        <w:spacing w:lineRule="auto" w:line="240" w:before="0" w:after="0"/>
        <w:ind w:firstLine="540"/>
        <w:jc w:val="both"/>
        <w:outlineLvl w:val="0"/>
        <w:rPr/>
      </w:pPr>
      <w:r>
        <w:rPr>
          <w:rStyle w:val="Style22"/>
        </w:rPr>
        <w:footnoteRef/>
      </w:r>
      <w:r>
        <w:rPr>
          <w:rStyle w:val="FootnoteCharacters"/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Согласно ст. 14.2 закона Красноярского края от 02.10.2008 № 7-2161 «Об административных правонарушениях» о</w:t>
      </w:r>
      <w:r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>
        <w:r>
          <w:rPr>
            <w:rStyle w:val="Style15"/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>
        <w:r>
          <w:rPr>
            <w:rStyle w:val="Style15"/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>
        <w:rPr>
          <w:rFonts w:ascii="Times New Roman" w:hAnsi="Times New Roman"/>
          <w:bCs/>
          <w:sz w:val="24"/>
          <w:szCs w:val="24"/>
        </w:rPr>
        <w:t xml:space="preserve"> Закона </w:t>
      </w:r>
      <w:r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5">
    <w:p>
      <w:pPr>
        <w:pStyle w:val="Style32"/>
        <w:ind w:firstLine="284"/>
        <w:jc w:val="both"/>
        <w:rPr/>
      </w:pPr>
      <w:r>
        <w:rPr>
          <w:rStyle w:val="Style22"/>
        </w:rPr>
        <w:footnoteRef/>
      </w:r>
      <w:r>
        <w:rPr>
          <w:rStyle w:val="FootnoteCharacters"/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6">
    <w:p>
      <w:pPr>
        <w:pStyle w:val="ConsPlusNormal1"/>
        <w:ind w:firstLine="284"/>
        <w:jc w:val="both"/>
        <w:rPr/>
      </w:pPr>
      <w:r>
        <w:rPr>
          <w:rStyle w:val="Style22"/>
        </w:rPr>
        <w:footnoteRef/>
      </w:r>
      <w:r>
        <w:rPr>
          <w:rStyle w:val="FootnoteCharacters"/>
          <w:rFonts w:cs="Times New Roman" w:ascii="Times New Roman" w:hAnsi="Times New Roman"/>
          <w:szCs w:val="22"/>
        </w:rPr>
        <w:tab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kern w:val="2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7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2"/>
        </w:rPr>
        <w:footnoteRef/>
      </w:r>
      <w:r>
        <w:rPr>
          <w:rStyle w:val="FootnoteCharacters"/>
          <w:rFonts w:ascii="Times New Roman" w:hAnsi="Times New Roman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Согласно ст.16 федерального закона от 29.12.2004 № 189-Фз в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>
        <w:r>
          <w:rPr>
            <w:rStyle w:val="Style15"/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8">
    <w:p>
      <w:pPr>
        <w:pStyle w:val="Style32"/>
        <w:ind w:firstLine="284"/>
        <w:rPr/>
      </w:pPr>
      <w:r>
        <w:rPr>
          <w:rStyle w:val="Style22"/>
        </w:rPr>
        <w:footnoteRef/>
      </w:r>
      <w:r>
        <w:rPr>
          <w:rStyle w:val="FootnoteCharacters"/>
        </w:rPr>
        <w:tab/>
      </w:r>
      <w:r>
        <w:rPr/>
        <w:t xml:space="preserve"> </w:t>
      </w:r>
      <w:r>
        <w:rPr>
          <w:rFonts w:ascii="Times New Roman" w:hAnsi="Times New Roman"/>
          <w:sz w:val="22"/>
          <w:szCs w:val="22"/>
        </w:rPr>
        <w:t>Проведение инвентаризации общественных территорий с учетом их физического состояния проводится в порядке, установленном Правительством Красноярского края</w:t>
      </w:r>
    </w:p>
  </w:footnote>
  <w:footnote w:id="9">
    <w:p>
      <w:pPr>
        <w:pStyle w:val="Normal"/>
        <w:spacing w:lineRule="auto" w:line="240" w:before="0" w:after="0"/>
        <w:ind w:firstLine="540"/>
        <w:jc w:val="both"/>
        <w:rPr/>
      </w:pPr>
      <w:r>
        <w:rPr>
          <w:rStyle w:val="Style22"/>
        </w:rPr>
        <w:footnoteRef/>
      </w:r>
      <w:r>
        <w:rPr>
          <w:rStyle w:val="FootnoteCharacters"/>
          <w:rFonts w:ascii="Times New Roman" w:hAnsi="Times New Roman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индивидуальных жилых домов и земельных участков, предоставленных для их размещения, реализуется на основании заключенных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>
        <w:rPr>
          <w:rFonts w:ascii="Times New Roman" w:hAnsi="Times New Roman"/>
        </w:rPr>
        <w:t xml:space="preserve"> по результатам проведенной инвентаризации.</w:t>
      </w:r>
    </w:p>
  </w:footnote>
  <w:footnote w:id="10">
    <w:p>
      <w:pPr>
        <w:pStyle w:val="Style32"/>
        <w:ind w:firstLine="567"/>
        <w:rPr/>
      </w:pPr>
      <w:r>
        <w:rPr>
          <w:rStyle w:val="Style22"/>
        </w:rPr>
        <w:footnoteRef/>
      </w:r>
      <w:r>
        <w:rPr>
          <w:rStyle w:val="FootnoteCharacters"/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Инвентаризация проводится в порядке, установленном Правительством края. </w:t>
      </w:r>
    </w:p>
  </w:footnote>
  <w:footnote w:id="11">
    <w:p>
      <w:pPr>
        <w:pStyle w:val="ConsPlusNormal1"/>
        <w:rPr>
          <w:rFonts w:ascii="Times New Roman" w:hAnsi="Times New Roman" w:cs="Times New Roman"/>
          <w:b/>
          <w:b/>
          <w:szCs w:val="22"/>
        </w:rPr>
      </w:pPr>
      <w:r>
        <w:rPr>
          <w:rStyle w:val="Style22"/>
        </w:rPr>
        <w:footnoteRef/>
      </w:r>
      <w:r>
        <w:rPr>
          <w:rStyle w:val="FootnoteCharacters"/>
          <w:rFonts w:cs="Times New Roman" w:ascii="Times New Roman" w:hAnsi="Times New Roman"/>
          <w:szCs w:val="22"/>
        </w:rPr>
        <w:tab/>
      </w:r>
      <w:r>
        <w:rPr>
          <w:rFonts w:cs="Times New Roman" w:ascii="Times New Roman" w:hAnsi="Times New Roman"/>
          <w:szCs w:val="22"/>
        </w:rPr>
        <w:t xml:space="preserve"> </w:t>
      </w:r>
      <w:r>
        <w:rPr>
          <w:rFonts w:cs="Times New Roman" w:ascii="Times New Roman" w:hAnsi="Times New Roman"/>
          <w:szCs w:val="22"/>
        </w:rPr>
        <w:t>Мероприятия государственной программы «Содействие развитию местного самоуправления», утвержденной постановлением Правительства края от 30.09.2013 № 517-п (конкурсы «Жители – за чистоту и благоустройство», «Инициатива жителей – эффективность в работе» и т.д.).</w:t>
      </w:r>
    </w:p>
    <w:p>
      <w:pPr>
        <w:pStyle w:val="Style32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1204" w:hanging="495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6"/>
  <w:defaultTabStop w:val="708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d088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5">
    <w:name w:val="Heading 5"/>
    <w:basedOn w:val="Normal"/>
    <w:link w:val="50"/>
    <w:uiPriority w:val="99"/>
    <w:qFormat/>
    <w:rsid w:val="00050cd0"/>
    <w:pPr>
      <w:keepNext w:val="true"/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caps/>
      <w:sz w:val="4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Основной текст Знак"/>
    <w:basedOn w:val="DefaultParagraphFont"/>
    <w:link w:val="a3"/>
    <w:qFormat/>
    <w:rsid w:val="002b3a38"/>
    <w:rPr>
      <w:rFonts w:ascii="Times New Roman" w:hAnsi="Times New Roman" w:eastAsia="Times New Roman" w:cs="Times New Roman"/>
      <w:sz w:val="24"/>
      <w:szCs w:val="24"/>
    </w:rPr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936054"/>
    <w:rPr>
      <w:rFonts w:ascii="Segoe UI" w:hAnsi="Segoe UI" w:cs="Segoe UI"/>
      <w:sz w:val="18"/>
      <w:szCs w:val="18"/>
    </w:rPr>
  </w:style>
  <w:style w:type="character" w:styleId="Style15">
    <w:name w:val="Интернет-ссылка"/>
    <w:basedOn w:val="DefaultParagraphFont"/>
    <w:uiPriority w:val="99"/>
    <w:unhideWhenUsed/>
    <w:rsid w:val="00ec3ed0"/>
    <w:rPr>
      <w:color w:val="0000FF" w:themeColor="hyperlink"/>
      <w:u w:val="single"/>
    </w:rPr>
  </w:style>
  <w:style w:type="character" w:styleId="Appleconvertedspace" w:customStyle="1">
    <w:name w:val="apple-converted-space"/>
    <w:basedOn w:val="DefaultParagraphFont"/>
    <w:qFormat/>
    <w:rsid w:val="00ec3ed0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1404eb"/>
    <w:rPr>
      <w:sz w:val="16"/>
      <w:szCs w:val="16"/>
    </w:rPr>
  </w:style>
  <w:style w:type="character" w:styleId="Style16" w:customStyle="1">
    <w:name w:val="Текст примечания Знак"/>
    <w:basedOn w:val="DefaultParagraphFont"/>
    <w:link w:val="ac"/>
    <w:uiPriority w:val="99"/>
    <w:semiHidden/>
    <w:qFormat/>
    <w:rsid w:val="001404eb"/>
    <w:rPr>
      <w:sz w:val="20"/>
      <w:szCs w:val="20"/>
    </w:rPr>
  </w:style>
  <w:style w:type="character" w:styleId="Style17" w:customStyle="1">
    <w:name w:val="Тема примечания Знак"/>
    <w:basedOn w:val="Style16"/>
    <w:link w:val="ae"/>
    <w:uiPriority w:val="99"/>
    <w:semiHidden/>
    <w:qFormat/>
    <w:rsid w:val="001404eb"/>
    <w:rPr>
      <w:b/>
      <w:bCs/>
      <w:sz w:val="20"/>
      <w:szCs w:val="20"/>
    </w:rPr>
  </w:style>
  <w:style w:type="character" w:styleId="Style18" w:customStyle="1">
    <w:name w:val="Верхний колонтитул Знак"/>
    <w:basedOn w:val="DefaultParagraphFont"/>
    <w:link w:val="af0"/>
    <w:uiPriority w:val="99"/>
    <w:qFormat/>
    <w:rsid w:val="003800a0"/>
    <w:rPr>
      <w:rFonts w:ascii="Calibri" w:hAnsi="Calibri" w:eastAsia="Calibri" w:cs="Times New Roman"/>
      <w:lang w:val="x-none" w:eastAsia="en-US"/>
    </w:rPr>
  </w:style>
  <w:style w:type="character" w:styleId="Style19" w:customStyle="1">
    <w:name w:val="Нижний колонтитул Знак"/>
    <w:basedOn w:val="DefaultParagraphFont"/>
    <w:link w:val="af2"/>
    <w:uiPriority w:val="99"/>
    <w:qFormat/>
    <w:rsid w:val="003800a0"/>
    <w:rPr>
      <w:rFonts w:ascii="Calibri" w:hAnsi="Calibri" w:eastAsia="Calibri" w:cs="Times New Roman"/>
      <w:lang w:val="x-none" w:eastAsia="en-US"/>
    </w:rPr>
  </w:style>
  <w:style w:type="character" w:styleId="Blk" w:customStyle="1">
    <w:name w:val="blk"/>
    <w:qFormat/>
    <w:rsid w:val="003800a0"/>
    <w:rPr/>
  </w:style>
  <w:style w:type="character" w:styleId="Style20" w:customStyle="1">
    <w:name w:val="Текст сноски Знак"/>
    <w:basedOn w:val="DefaultParagraphFont"/>
    <w:link w:val="af5"/>
    <w:uiPriority w:val="99"/>
    <w:semiHidden/>
    <w:qFormat/>
    <w:rsid w:val="003800a0"/>
    <w:rPr>
      <w:rFonts w:ascii="Calibri" w:hAnsi="Calibri" w:eastAsia="Calibri" w:cs="Times New Roman"/>
      <w:sz w:val="20"/>
      <w:szCs w:val="20"/>
      <w:lang w:eastAsia="en-US"/>
    </w:rPr>
  </w:style>
  <w:style w:type="character" w:styleId="Style21">
    <w:name w:val="Привязка сноски"/>
    <w:rPr>
      <w:vertAlign w:val="superscript"/>
    </w:rPr>
  </w:style>
  <w:style w:type="character" w:styleId="FootnoteCharacters">
    <w:name w:val="Footnote Characters"/>
    <w:unhideWhenUsed/>
    <w:qFormat/>
    <w:rsid w:val="003800a0"/>
    <w:rPr>
      <w:vertAlign w:val="superscript"/>
    </w:rPr>
  </w:style>
  <w:style w:type="character" w:styleId="51" w:customStyle="1">
    <w:name w:val="Заголовок 5 Знак"/>
    <w:basedOn w:val="DefaultParagraphFont"/>
    <w:link w:val="5"/>
    <w:uiPriority w:val="99"/>
    <w:qFormat/>
    <w:rsid w:val="00050cd0"/>
    <w:rPr>
      <w:rFonts w:ascii="Times New Roman" w:hAnsi="Times New Roman" w:eastAsia="Times New Roman" w:cs="Times New Roman"/>
      <w:b/>
      <w:caps/>
      <w:sz w:val="48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834eaf"/>
    <w:rPr>
      <w:color w:val="800080"/>
      <w:u w:val="single"/>
    </w:rPr>
  </w:style>
  <w:style w:type="character" w:styleId="ConsPlusNormal" w:customStyle="1">
    <w:name w:val="ConsPlusNormal Знак"/>
    <w:link w:val="ConsPlusNormal"/>
    <w:qFormat/>
    <w:rsid w:val="00780d82"/>
    <w:rPr>
      <w:rFonts w:ascii="Arial" w:hAnsi="Arial" w:eastAsia="Times New Roman" w:cs="Arial"/>
      <w:sz w:val="20"/>
      <w:szCs w:val="20"/>
    </w:rPr>
  </w:style>
  <w:style w:type="character" w:styleId="ListLabel1">
    <w:name w:val="ListLabel 1"/>
    <w:qFormat/>
    <w:rPr>
      <w:color w:val="000000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Times New Roman" w:cs="Times New Roman"/>
      <w:color w:val="000000"/>
    </w:rPr>
  </w:style>
  <w:style w:type="character" w:styleId="ListLabel6">
    <w:name w:val="ListLabel 6"/>
    <w:qFormat/>
    <w:rPr>
      <w:rFonts w:eastAsia="Calibri"/>
      <w:color w:val="000000"/>
    </w:rPr>
  </w:style>
  <w:style w:type="character" w:styleId="ListLabel7">
    <w:name w:val="ListLabel 7"/>
    <w:qFormat/>
    <w:rPr>
      <w:rFonts w:eastAsia="Calibri"/>
      <w:color w:val="000000"/>
    </w:rPr>
  </w:style>
  <w:style w:type="character" w:styleId="ListLabel8">
    <w:name w:val="ListLabel 8"/>
    <w:qFormat/>
    <w:rPr>
      <w:rFonts w:eastAsia="Calibri"/>
      <w:color w:val="000000"/>
    </w:rPr>
  </w:style>
  <w:style w:type="character" w:styleId="ListLabel9">
    <w:name w:val="ListLabel 9"/>
    <w:qFormat/>
    <w:rPr>
      <w:rFonts w:eastAsia="Calibri"/>
      <w:color w:val="000000"/>
    </w:rPr>
  </w:style>
  <w:style w:type="character" w:styleId="ListLabel10">
    <w:name w:val="ListLabel 10"/>
    <w:qFormat/>
    <w:rPr>
      <w:rFonts w:eastAsia="Calibri"/>
      <w:color w:val="000000"/>
    </w:rPr>
  </w:style>
  <w:style w:type="character" w:styleId="ListLabel11">
    <w:name w:val="ListLabel 11"/>
    <w:qFormat/>
    <w:rPr>
      <w:rFonts w:eastAsia="Calibri"/>
      <w:color w:val="000000"/>
    </w:rPr>
  </w:style>
  <w:style w:type="character" w:styleId="ListLabel12">
    <w:name w:val="ListLabel 12"/>
    <w:qFormat/>
    <w:rPr>
      <w:rFonts w:eastAsia="Calibri"/>
      <w:color w:val="000000"/>
    </w:rPr>
  </w:style>
  <w:style w:type="character" w:styleId="ListLabel13">
    <w:name w:val="ListLabel 13"/>
    <w:qFormat/>
    <w:rPr>
      <w:rFonts w:eastAsia="Calibri"/>
      <w:color w:val="000000"/>
    </w:rPr>
  </w:style>
  <w:style w:type="character" w:styleId="ListLabel14">
    <w:name w:val="ListLabel 14"/>
    <w:qFormat/>
    <w:rPr>
      <w:rFonts w:eastAsia="Calibri"/>
      <w:color w:val="000000"/>
    </w:rPr>
  </w:style>
  <w:style w:type="character" w:styleId="ListLabel15">
    <w:name w:val="ListLabel 15"/>
    <w:qFormat/>
    <w:rPr>
      <w:rFonts w:eastAsia="Calibri"/>
      <w:color w:val="000000"/>
    </w:rPr>
  </w:style>
  <w:style w:type="character" w:styleId="ListLabel16">
    <w:name w:val="ListLabel 16"/>
    <w:qFormat/>
    <w:rPr>
      <w:sz w:val="28"/>
    </w:rPr>
  </w:style>
  <w:style w:type="character" w:styleId="ListLabel17">
    <w:name w:val="ListLabel 17"/>
    <w:qFormat/>
    <w:rPr>
      <w:sz w:val="28"/>
    </w:rPr>
  </w:style>
  <w:style w:type="character" w:styleId="ListLabel18">
    <w:name w:val="ListLabel 18"/>
    <w:qFormat/>
    <w:rPr>
      <w:sz w:val="28"/>
    </w:rPr>
  </w:style>
  <w:style w:type="character" w:styleId="ListLabel19">
    <w:name w:val="ListLabel 19"/>
    <w:qFormat/>
    <w:rPr>
      <w:sz w:val="28"/>
    </w:rPr>
  </w:style>
  <w:style w:type="character" w:styleId="ListLabel20">
    <w:name w:val="ListLabel 20"/>
    <w:qFormat/>
    <w:rPr>
      <w:sz w:val="28"/>
    </w:rPr>
  </w:style>
  <w:style w:type="character" w:styleId="ListLabel21">
    <w:name w:val="ListLabel 21"/>
    <w:qFormat/>
    <w:rPr>
      <w:sz w:val="28"/>
    </w:rPr>
  </w:style>
  <w:style w:type="character" w:styleId="ListLabel22">
    <w:name w:val="ListLabel 22"/>
    <w:qFormat/>
    <w:rPr>
      <w:sz w:val="28"/>
    </w:rPr>
  </w:style>
  <w:style w:type="character" w:styleId="ListLabel23">
    <w:name w:val="ListLabel 23"/>
    <w:qFormat/>
    <w:rPr>
      <w:sz w:val="28"/>
    </w:rPr>
  </w:style>
  <w:style w:type="character" w:styleId="ListLabel24">
    <w:name w:val="ListLabel 24"/>
    <w:qFormat/>
    <w:rPr>
      <w:rFonts w:eastAsia="Calibri"/>
    </w:rPr>
  </w:style>
  <w:style w:type="character" w:styleId="ListLabel25">
    <w:name w:val="ListLabel 25"/>
    <w:qFormat/>
    <w:rPr>
      <w:rFonts w:eastAsia="Calibri"/>
    </w:rPr>
  </w:style>
  <w:style w:type="character" w:styleId="ListLabel26">
    <w:name w:val="ListLabel 26"/>
    <w:qFormat/>
    <w:rPr>
      <w:rFonts w:eastAsia="Calibri"/>
    </w:rPr>
  </w:style>
  <w:style w:type="character" w:styleId="ListLabel27">
    <w:name w:val="ListLabel 27"/>
    <w:qFormat/>
    <w:rPr>
      <w:rFonts w:eastAsia="Calibri"/>
    </w:rPr>
  </w:style>
  <w:style w:type="character" w:styleId="ListLabel28">
    <w:name w:val="ListLabel 28"/>
    <w:qFormat/>
    <w:rPr>
      <w:rFonts w:eastAsia="Calibri"/>
    </w:rPr>
  </w:style>
  <w:style w:type="character" w:styleId="ListLabel29">
    <w:name w:val="ListLabel 29"/>
    <w:qFormat/>
    <w:rPr>
      <w:rFonts w:eastAsia="Calibri"/>
    </w:rPr>
  </w:style>
  <w:style w:type="character" w:styleId="ListLabel30">
    <w:name w:val="ListLabel 30"/>
    <w:qFormat/>
    <w:rPr>
      <w:rFonts w:eastAsia="Calibri"/>
    </w:rPr>
  </w:style>
  <w:style w:type="character" w:styleId="ListLabel31">
    <w:name w:val="ListLabel 31"/>
    <w:qFormat/>
    <w:rPr>
      <w:rFonts w:eastAsia="Calibri"/>
    </w:rPr>
  </w:style>
  <w:style w:type="character" w:styleId="ListLabel32">
    <w:name w:val="ListLabel 32"/>
    <w:qFormat/>
    <w:rPr>
      <w:rFonts w:eastAsia="Calibri"/>
    </w:rPr>
  </w:style>
  <w:style w:type="character" w:styleId="ListLabel33">
    <w:name w:val="ListLabel 33"/>
    <w:qFormat/>
    <w:rPr>
      <w:rFonts w:eastAsia="Calibri"/>
    </w:rPr>
  </w:style>
  <w:style w:type="character" w:styleId="ListLabel34">
    <w:name w:val="ListLabel 34"/>
    <w:qFormat/>
    <w:rPr>
      <w:rFonts w:eastAsia="Calibri"/>
    </w:rPr>
  </w:style>
  <w:style w:type="character" w:styleId="ListLabel35">
    <w:name w:val="ListLabel 35"/>
    <w:qFormat/>
    <w:rPr>
      <w:rFonts w:eastAsia="Calibri"/>
    </w:rPr>
  </w:style>
  <w:style w:type="character" w:styleId="ListLabel36">
    <w:name w:val="ListLabel 36"/>
    <w:qFormat/>
    <w:rPr>
      <w:rFonts w:eastAsia="Calibri"/>
    </w:rPr>
  </w:style>
  <w:style w:type="character" w:styleId="ListLabel37">
    <w:name w:val="ListLabel 37"/>
    <w:qFormat/>
    <w:rPr>
      <w:rFonts w:eastAsia="Calibri"/>
    </w:rPr>
  </w:style>
  <w:style w:type="character" w:styleId="ListLabel38">
    <w:name w:val="ListLabel 38"/>
    <w:qFormat/>
    <w:rPr>
      <w:rFonts w:eastAsia="Calibri"/>
    </w:rPr>
  </w:style>
  <w:style w:type="character" w:styleId="ListLabel39">
    <w:name w:val="ListLabel 39"/>
    <w:qFormat/>
    <w:rPr>
      <w:rFonts w:eastAsia="Calibri"/>
    </w:rPr>
  </w:style>
  <w:style w:type="character" w:styleId="ListLabel40">
    <w:name w:val="ListLabel 40"/>
    <w:qFormat/>
    <w:rPr>
      <w:rFonts w:eastAsia="Calibri"/>
    </w:rPr>
  </w:style>
  <w:style w:type="character" w:styleId="ListLabel41">
    <w:name w:val="ListLabel 41"/>
    <w:qFormat/>
    <w:rPr>
      <w:rFonts w:eastAsia="Calibri"/>
    </w:rPr>
  </w:style>
  <w:style w:type="character" w:styleId="ListLabel42">
    <w:name w:val="ListLabel 42"/>
    <w:qFormat/>
    <w:rPr>
      <w:rFonts w:ascii="Times New Roman" w:hAnsi="Times New Roman" w:cs="Times New Roman"/>
      <w:color w:val="000000" w:themeColor="text1"/>
      <w:spacing w:val="2"/>
      <w:sz w:val="28"/>
      <w:szCs w:val="28"/>
      <w:u w:val="none"/>
      <w:shd w:fill="FFFFFF" w:val="clear"/>
    </w:rPr>
  </w:style>
  <w:style w:type="character" w:styleId="ListLabel43">
    <w:name w:val="ListLabel 43"/>
    <w:qFormat/>
    <w:rPr>
      <w:rFonts w:ascii="Times New Roman" w:hAnsi="Times New Roman" w:eastAsia="Calibri" w:cs="Times New Roman" w:eastAsiaTheme="minorHAnsi"/>
      <w:spacing w:val="2"/>
      <w:sz w:val="28"/>
      <w:szCs w:val="28"/>
      <w:shd w:fill="FFFFFF" w:val="clear"/>
      <w:lang w:eastAsia="en-US"/>
    </w:rPr>
  </w:style>
  <w:style w:type="character" w:styleId="ListLabel44">
    <w:name w:val="ListLabel 44"/>
    <w:qFormat/>
    <w:rPr>
      <w:rFonts w:ascii="Times New Roman" w:hAnsi="Times New Roman" w:eastAsia="Calibri" w:cs="Times New Roman"/>
      <w:sz w:val="28"/>
      <w:szCs w:val="28"/>
    </w:rPr>
  </w:style>
  <w:style w:type="character" w:styleId="Style22">
    <w:name w:val="Символ сноски"/>
    <w:qFormat/>
    <w:rPr/>
  </w:style>
  <w:style w:type="character" w:styleId="Style23">
    <w:name w:val="Привязка концевой сноски"/>
    <w:rPr>
      <w:vertAlign w:val="superscript"/>
    </w:rPr>
  </w:style>
  <w:style w:type="character" w:styleId="Style24">
    <w:name w:val="Символ концевой сноски"/>
    <w:qFormat/>
    <w:rPr/>
  </w:style>
  <w:style w:type="paragraph" w:styleId="Style25">
    <w:name w:val="Заголовок"/>
    <w:basedOn w:val="Normal"/>
    <w:next w:val="Style2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6">
    <w:name w:val="Body Text"/>
    <w:basedOn w:val="Normal"/>
    <w:link w:val="a4"/>
    <w:rsid w:val="002b3a38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</w:rPr>
  </w:style>
  <w:style w:type="paragraph" w:styleId="Style27">
    <w:name w:val="List"/>
    <w:basedOn w:val="Style26"/>
    <w:pPr/>
    <w:rPr>
      <w:rFonts w:cs="Lohit Devanagari"/>
    </w:rPr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9">
    <w:name w:val="Указатель"/>
    <w:basedOn w:val="Normal"/>
    <w:qFormat/>
    <w:pPr>
      <w:suppressLineNumbers/>
    </w:pPr>
    <w:rPr>
      <w:rFonts w:cs="Lohit Devanagari"/>
    </w:rPr>
  </w:style>
  <w:style w:type="paragraph" w:styleId="ConsPlusNonformat" w:customStyle="1">
    <w:name w:val="ConsPlusNonformat"/>
    <w:qFormat/>
    <w:rsid w:val="002b3a38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936054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c23e4"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99"/>
    <w:qFormat/>
    <w:rsid w:val="00ec3ed0"/>
    <w:pPr>
      <w:widowControl/>
      <w:bidi w:val="0"/>
      <w:spacing w:lineRule="auto" w:line="240" w:before="0" w:after="0"/>
      <w:jc w:val="left"/>
    </w:pPr>
    <w:rPr>
      <w:rFonts w:eastAsia="Calibri" w:eastAsiaTheme="minorHAnsi" w:ascii="Calibri" w:hAnsi="Calibri" w:cs=""/>
      <w:color w:val="auto"/>
      <w:kern w:val="0"/>
      <w:sz w:val="22"/>
      <w:szCs w:val="22"/>
      <w:lang w:eastAsia="en-US" w:val="ru-RU" w:bidi="ar-SA"/>
    </w:rPr>
  </w:style>
  <w:style w:type="paragraph" w:styleId="Default" w:customStyle="1">
    <w:name w:val="Default"/>
    <w:qFormat/>
    <w:rsid w:val="00ec3ed0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000000"/>
      <w:kern w:val="0"/>
      <w:sz w:val="24"/>
      <w:szCs w:val="24"/>
      <w:lang w:eastAsia="en-US" w:val="ru-RU" w:bidi="ar-SA"/>
    </w:rPr>
  </w:style>
  <w:style w:type="paragraph" w:styleId="Annotationtext">
    <w:name w:val="annotation text"/>
    <w:basedOn w:val="Normal"/>
    <w:link w:val="ad"/>
    <w:uiPriority w:val="99"/>
    <w:semiHidden/>
    <w:unhideWhenUsed/>
    <w:qFormat/>
    <w:rsid w:val="001404eb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f"/>
    <w:uiPriority w:val="99"/>
    <w:semiHidden/>
    <w:unhideWhenUsed/>
    <w:qFormat/>
    <w:rsid w:val="001404eb"/>
    <w:pPr/>
    <w:rPr>
      <w:b/>
      <w:bCs/>
    </w:rPr>
  </w:style>
  <w:style w:type="paragraph" w:styleId="ConsPlusNormal1" w:customStyle="1">
    <w:name w:val="ConsPlusNormal"/>
    <w:link w:val="ConsPlusNormal0"/>
    <w:qFormat/>
    <w:rsid w:val="00f174a6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ConsPlusTitle" w:customStyle="1">
    <w:name w:val="ConsPlusTitle"/>
    <w:uiPriority w:val="99"/>
    <w:qFormat/>
    <w:rsid w:val="003800a0"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val="ru-RU" w:eastAsia="ru-RU" w:bidi="ar-SA"/>
    </w:rPr>
  </w:style>
  <w:style w:type="paragraph" w:styleId="Style30">
    <w:name w:val="Header"/>
    <w:basedOn w:val="Normal"/>
    <w:link w:val="af1"/>
    <w:uiPriority w:val="99"/>
    <w:unhideWhenUsed/>
    <w:rsid w:val="003800a0"/>
    <w:pPr>
      <w:tabs>
        <w:tab w:val="center" w:pos="4677" w:leader="none"/>
        <w:tab w:val="right" w:pos="9355" w:leader="none"/>
      </w:tabs>
      <w:spacing w:lineRule="auto" w:line="259" w:before="0" w:after="160"/>
    </w:pPr>
    <w:rPr>
      <w:rFonts w:ascii="Calibri" w:hAnsi="Calibri" w:eastAsia="Calibri" w:cs="Times New Roman"/>
      <w:lang w:val="x-none" w:eastAsia="en-US"/>
    </w:rPr>
  </w:style>
  <w:style w:type="paragraph" w:styleId="Style31">
    <w:name w:val="Footer"/>
    <w:basedOn w:val="Normal"/>
    <w:link w:val="af3"/>
    <w:uiPriority w:val="99"/>
    <w:unhideWhenUsed/>
    <w:rsid w:val="003800a0"/>
    <w:pPr>
      <w:tabs>
        <w:tab w:val="center" w:pos="4677" w:leader="none"/>
        <w:tab w:val="right" w:pos="9355" w:leader="none"/>
      </w:tabs>
      <w:spacing w:lineRule="auto" w:line="259" w:before="0" w:after="160"/>
    </w:pPr>
    <w:rPr>
      <w:rFonts w:ascii="Calibri" w:hAnsi="Calibri" w:eastAsia="Calibri" w:cs="Times New Roman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qFormat/>
    <w:rsid w:val="003800a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sPlusTitlePage" w:customStyle="1">
    <w:name w:val="ConsPlusTitlePage"/>
    <w:qFormat/>
    <w:rsid w:val="003800a0"/>
    <w:pPr>
      <w:widowControl w:val="fals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Style32">
    <w:name w:val="Footnote Text"/>
    <w:basedOn w:val="Normal"/>
    <w:link w:val="af6"/>
    <w:uiPriority w:val="99"/>
    <w:semiHidden/>
    <w:unhideWhenUsed/>
    <w:rsid w:val="003800a0"/>
    <w:pPr>
      <w:spacing w:lineRule="auto" w:line="240" w:before="0" w:after="0"/>
    </w:pPr>
    <w:rPr>
      <w:rFonts w:ascii="Calibri" w:hAnsi="Calibri" w:eastAsia="Calibri" w:cs="Times New Roman"/>
      <w:sz w:val="20"/>
      <w:szCs w:val="20"/>
      <w:lang w:eastAsia="en-US"/>
    </w:rPr>
  </w:style>
  <w:style w:type="paragraph" w:styleId="Style33" w:customStyle="1">
    <w:name w:val="Знак Знак Знак Знак Знак Знак Знак"/>
    <w:basedOn w:val="Normal"/>
    <w:qFormat/>
    <w:rsid w:val="00e63789"/>
    <w:pPr>
      <w:spacing w:lineRule="exact" w:line="240" w:before="0" w:after="160"/>
    </w:pPr>
    <w:rPr>
      <w:rFonts w:ascii="Verdana" w:hAnsi="Verdana" w:eastAsia="Times New Roman" w:cs="Verdana"/>
      <w:sz w:val="20"/>
      <w:szCs w:val="20"/>
      <w:lang w:val="en-US" w:eastAsia="en-US"/>
    </w:rPr>
  </w:style>
  <w:style w:type="paragraph" w:styleId="Xl67" w:customStyle="1">
    <w:name w:val="xl67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8" w:customStyle="1">
    <w:name w:val="xl68"/>
    <w:basedOn w:val="Normal"/>
    <w:qFormat/>
    <w:rsid w:val="00834eaf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9" w:customStyle="1">
    <w:name w:val="xl69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Xl70" w:customStyle="1">
    <w:name w:val="xl70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1" w:customStyle="1">
    <w:name w:val="xl71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2" w:customStyle="1">
    <w:name w:val="xl72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Xl73" w:customStyle="1">
    <w:name w:val="xl73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Xl74" w:customStyle="1">
    <w:name w:val="xl74"/>
    <w:basedOn w:val="Normal"/>
    <w:qFormat/>
    <w:rsid w:val="00834e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5" w:customStyle="1">
    <w:name w:val="xl65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66" w:customStyle="1">
    <w:name w:val="xl66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5" w:customStyle="1">
    <w:name w:val="xl75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6" w:customStyle="1">
    <w:name w:val="xl76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7" w:customStyle="1">
    <w:name w:val="xl77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8" w:customStyle="1">
    <w:name w:val="xl78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79" w:customStyle="1">
    <w:name w:val="xl79"/>
    <w:basedOn w:val="Normal"/>
    <w:qFormat/>
    <w:rsid w:val="00f55c2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Xl80" w:customStyle="1">
    <w:name w:val="xl80"/>
    <w:basedOn w:val="Normal"/>
    <w:qFormat/>
    <w:rsid w:val="00f55c27"/>
    <w:pPr>
      <w:spacing w:lineRule="auto" w:line="240" w:beforeAutospacing="1" w:afterAutospacing="1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81" w:customStyle="1">
    <w:name w:val="xl81"/>
    <w:basedOn w:val="Normal"/>
    <w:qFormat/>
    <w:rsid w:val="00f55c27"/>
    <w:pP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82" w:customStyle="1">
    <w:name w:val="xl82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Xl83" w:customStyle="1">
    <w:name w:val="xl83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color w:val="0000FF"/>
      <w:sz w:val="24"/>
      <w:szCs w:val="24"/>
      <w:u w:val="single"/>
    </w:rPr>
  </w:style>
  <w:style w:type="paragraph" w:styleId="Xl84" w:customStyle="1">
    <w:name w:val="xl84"/>
    <w:basedOn w:val="Normal"/>
    <w:qFormat/>
    <w:rsid w:val="00f55c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lineRule="auto" w:line="240"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24"/>
      <w:szCs w:val="24"/>
    </w:rPr>
  </w:style>
  <w:style w:type="paragraph" w:styleId="Style34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" w:customStyle="1">
    <w:name w:val="Нет списка1"/>
    <w:uiPriority w:val="99"/>
    <w:semiHidden/>
    <w:unhideWhenUsed/>
    <w:qFormat/>
    <w:rsid w:val="003800a0"/>
  </w:style>
  <w:style w:type="numbering" w:styleId="2" w:customStyle="1">
    <w:name w:val="Нет списка2"/>
    <w:uiPriority w:val="99"/>
    <w:semiHidden/>
    <w:unhideWhenUsed/>
    <w:qFormat/>
    <w:rsid w:val="00050cd0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Сетка таблицы1"/>
    <w:basedOn w:val="a1"/>
    <w:uiPriority w:val="59"/>
    <w:rsid w:val="003800a0"/>
    <w:pPr>
      <w:spacing w:after="0" w:line="240" w:lineRule="auto"/>
    </w:pPr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Сетка таблицы2"/>
    <w:basedOn w:val="a1"/>
    <w:rsid w:val="00b70b27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docs.cntd.ru/document/901919946" TargetMode="External"/><Relationship Id="rId3" Type="http://schemas.openxmlformats.org/officeDocument/2006/relationships/hyperlink" Target="http://docs.cntd.ru/document/901919338" TargetMode="External"/><Relationship Id="rId4" Type="http://schemas.openxmlformats.org/officeDocument/2006/relationships/hyperlink" Target="consultantplus://offline/ref=0561D9DA64E53C0FCFD02859F57C0330CDB0159AB2A43EF90FAEE902B97DAC5F2A0DE69390A17597F7D6D931c428E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consultantplus://offline/ref=F5C986FF722FF4DB91B759222161D3EA81C179C93C3761E432A41092CEC0BBCE2F37ADL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3" Type="http://schemas.openxmlformats.org/officeDocument/2006/relationships/hyperlink" Target="consultantplus://offline/ref=AF8FB8ADDCDFCE0A341C063282EFE91EAB407F8536832994EE651832F4T7HBR" TargetMode="Externa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3E5B5-C1F5-45DB-A0C2-947AA35C6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Application>LibreOffice/6.0.7.3$Linux_X86_64 LibreOffice_project/00m0$Build-3</Application>
  <Pages>73</Pages>
  <Words>14336</Words>
  <Characters>103750</Characters>
  <CharactersWithSpaces>122803</CharactersWithSpaces>
  <Paragraphs>4002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2019-02-19T02:04:00Z</dcterms:created>
  <dc:creator>Елена</dc:creator>
  <dc:description/>
  <dc:language>ru-RU</dc:language>
  <cp:lastModifiedBy/>
  <cp:lastPrinted>2019-10-09T02:08:00Z</cp:lastPrinted>
  <dcterms:modified xsi:type="dcterms:W3CDTF">2019-10-09T11:49:47Z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