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r>
    </w:p>
    <w:p>
      <w:pPr>
        <w:pStyle w:val="NoSpacing"/>
        <w:jc w:val="center"/>
        <w:rPr>
          <w:b/>
          <w:b/>
          <w:sz w:val="24"/>
          <w:szCs w:val="24"/>
        </w:rPr>
      </w:pPr>
      <w:r>
        <w:rPr>
          <w:b/>
          <w:sz w:val="24"/>
          <w:szCs w:val="24"/>
        </w:rPr>
        <w:t>РАСПОРЯЖЕНИЕ</w:t>
      </w:r>
    </w:p>
    <w:p>
      <w:pPr>
        <w:pStyle w:val="Normal"/>
        <w:rPr>
          <w:sz w:val="24"/>
          <w:szCs w:val="24"/>
          <w:lang w:eastAsia="en-US"/>
        </w:rPr>
      </w:pPr>
      <w:r>
        <w:rPr>
          <w:sz w:val="24"/>
          <w:szCs w:val="24"/>
          <w:lang w:eastAsia="en-US"/>
        </w:rPr>
      </w:r>
    </w:p>
    <w:p>
      <w:pPr>
        <w:pStyle w:val="Normal"/>
        <w:ind w:left="993" w:right="180" w:firstLine="567"/>
        <w:rPr>
          <w:b/>
          <w:b/>
          <w:sz w:val="24"/>
          <w:szCs w:val="24"/>
        </w:rPr>
      </w:pPr>
      <w:r>
        <w:rPr>
          <w:b/>
          <w:sz w:val="24"/>
          <w:szCs w:val="24"/>
        </w:rPr>
      </w:r>
    </w:p>
    <w:p>
      <w:pPr>
        <w:pStyle w:val="Normal"/>
        <w:rPr>
          <w:sz w:val="24"/>
          <w:szCs w:val="24"/>
        </w:rPr>
      </w:pPr>
      <w:r>
        <w:rPr>
          <w:sz w:val="24"/>
          <w:szCs w:val="24"/>
        </w:rPr>
        <w:t>08.04.2022</w:t>
        <w:tab/>
        <w:tab/>
        <w:tab/>
        <w:tab/>
        <w:tab/>
        <w:t xml:space="preserve">                                                                        №  629</w:t>
      </w:r>
    </w:p>
    <w:p>
      <w:pPr>
        <w:pStyle w:val="22"/>
        <w:shd w:val="clear" w:color="auto" w:fill="auto"/>
        <w:tabs>
          <w:tab w:val="clear" w:pos="708"/>
          <w:tab w:val="left" w:pos="5103" w:leader="none"/>
          <w:tab w:val="left" w:pos="5670" w:leader="none"/>
        </w:tabs>
        <w:spacing w:lineRule="auto" w:line="240" w:before="0" w:after="0"/>
        <w:ind w:right="111" w:hanging="0"/>
        <w:rPr>
          <w:color w:val="000000"/>
          <w:sz w:val="24"/>
          <w:szCs w:val="24"/>
          <w:lang w:bidi="ru-RU"/>
        </w:rPr>
      </w:pPr>
      <w:r>
        <w:rPr>
          <w:color w:val="000000"/>
          <w:sz w:val="24"/>
          <w:szCs w:val="24"/>
          <w:lang w:bidi="ru-RU"/>
        </w:rPr>
      </w:r>
    </w:p>
    <w:p>
      <w:pPr>
        <w:pStyle w:val="22"/>
        <w:shd w:val="clear" w:color="auto" w:fill="auto"/>
        <w:tabs>
          <w:tab w:val="clear" w:pos="708"/>
          <w:tab w:val="left" w:pos="5103" w:leader="none"/>
          <w:tab w:val="left" w:pos="5670" w:leader="none"/>
        </w:tabs>
        <w:spacing w:lineRule="auto" w:line="240" w:before="0" w:after="0"/>
        <w:ind w:right="111" w:hanging="0"/>
        <w:rPr>
          <w:color w:val="000000"/>
          <w:sz w:val="24"/>
          <w:szCs w:val="24"/>
          <w:lang w:bidi="ru-RU"/>
        </w:rPr>
      </w:pPr>
      <w:r>
        <w:rPr>
          <w:color w:val="000000"/>
          <w:sz w:val="24"/>
          <w:szCs w:val="24"/>
          <w:lang w:bidi="ru-RU"/>
        </w:rPr>
      </w:r>
    </w:p>
    <w:p>
      <w:pPr>
        <w:pStyle w:val="Normal"/>
        <w:rPr>
          <w:sz w:val="24"/>
          <w:szCs w:val="24"/>
        </w:rPr>
      </w:pPr>
      <w:r>
        <w:rPr>
          <w:sz w:val="24"/>
          <w:szCs w:val="24"/>
        </w:rPr>
        <w:t xml:space="preserve">О проведении открытого конкурса </w:t>
      </w:r>
    </w:p>
    <w:p>
      <w:pPr>
        <w:pStyle w:val="Normal"/>
        <w:rPr>
          <w:sz w:val="24"/>
          <w:szCs w:val="24"/>
        </w:rPr>
      </w:pPr>
      <w:r>
        <w:rPr>
          <w:sz w:val="24"/>
          <w:szCs w:val="24"/>
        </w:rPr>
        <w:t>на право заключения концессионного соглашения</w:t>
      </w:r>
    </w:p>
    <w:p>
      <w:pPr>
        <w:pStyle w:val="Normal"/>
        <w:rPr>
          <w:bCs/>
          <w:sz w:val="24"/>
          <w:szCs w:val="24"/>
        </w:rPr>
      </w:pPr>
      <w:r>
        <w:rPr>
          <w:bCs/>
          <w:sz w:val="24"/>
          <w:szCs w:val="24"/>
        </w:rPr>
        <w:t xml:space="preserve">в отношении объектов водоснабжения – </w:t>
      </w:r>
    </w:p>
    <w:p>
      <w:pPr>
        <w:pStyle w:val="Normal"/>
        <w:rPr>
          <w:bCs/>
          <w:sz w:val="24"/>
          <w:szCs w:val="24"/>
        </w:rPr>
      </w:pPr>
      <w:r>
        <w:rPr>
          <w:bCs/>
          <w:sz w:val="24"/>
          <w:szCs w:val="24"/>
        </w:rPr>
        <w:t xml:space="preserve">централизованных систем холодного водоснабжения </w:t>
      </w:r>
    </w:p>
    <w:p>
      <w:pPr>
        <w:pStyle w:val="Normal"/>
        <w:rPr>
          <w:bCs/>
          <w:sz w:val="24"/>
          <w:szCs w:val="24"/>
        </w:rPr>
      </w:pPr>
      <w:r>
        <w:rPr>
          <w:bCs/>
          <w:sz w:val="24"/>
          <w:szCs w:val="24"/>
        </w:rPr>
        <w:t xml:space="preserve">на территории муниципального образования </w:t>
      </w:r>
    </w:p>
    <w:p>
      <w:pPr>
        <w:pStyle w:val="Normal"/>
        <w:rPr>
          <w:sz w:val="24"/>
          <w:szCs w:val="24"/>
        </w:rPr>
      </w:pPr>
      <w:r>
        <w:rPr>
          <w:bCs/>
          <w:sz w:val="24"/>
          <w:szCs w:val="24"/>
        </w:rPr>
        <w:t>«городской округ город Шарыпово Красноярского края»</w:t>
      </w:r>
    </w:p>
    <w:p>
      <w:pPr>
        <w:pStyle w:val="Normal"/>
        <w:jc w:val="both"/>
        <w:rPr>
          <w:sz w:val="24"/>
          <w:szCs w:val="24"/>
        </w:rPr>
      </w:pPr>
      <w:r>
        <w:rPr>
          <w:sz w:val="24"/>
          <w:szCs w:val="24"/>
        </w:rPr>
      </w:r>
    </w:p>
    <w:p>
      <w:pPr>
        <w:pStyle w:val="Normal"/>
        <w:jc w:val="both"/>
        <w:rPr>
          <w:spacing w:val="-1"/>
          <w:sz w:val="24"/>
          <w:szCs w:val="24"/>
        </w:rPr>
      </w:pPr>
      <w:r>
        <w:rPr>
          <w:spacing w:val="-1"/>
          <w:sz w:val="24"/>
          <w:szCs w:val="24"/>
        </w:rPr>
      </w:r>
    </w:p>
    <w:p>
      <w:pPr>
        <w:pStyle w:val="Normal"/>
        <w:ind w:firstLine="709"/>
        <w:jc w:val="both"/>
        <w:rPr>
          <w:sz w:val="24"/>
          <w:szCs w:val="24"/>
        </w:rPr>
      </w:pPr>
      <w:r>
        <mc:AlternateContent>
          <mc:Choice Requires="wps">
            <w:drawing>
              <wp:anchor behindDoc="0" distT="0" distB="0" distL="0" distR="0" simplePos="0" locked="0" layoutInCell="1" allowOverlap="1" relativeHeight="2">
                <wp:simplePos x="0" y="0"/>
                <wp:positionH relativeFrom="column">
                  <wp:posOffset>-1943100</wp:posOffset>
                </wp:positionH>
                <wp:positionV relativeFrom="paragraph">
                  <wp:posOffset>93980</wp:posOffset>
                </wp:positionV>
                <wp:extent cx="198120" cy="229235"/>
                <wp:effectExtent l="0" t="0" r="0" b="0"/>
                <wp:wrapNone/>
                <wp:docPr id="1" name="Изображение1"/>
                <a:graphic xmlns:a="http://schemas.openxmlformats.org/drawingml/2006/main">
                  <a:graphicData uri="http://schemas.microsoft.com/office/word/2010/wordprocessingShape">
                    <wps:wsp>
                      <wps:cNvSpPr/>
                      <wps:spPr>
                        <a:xfrm>
                          <a:off x="0" y="0"/>
                          <a:ext cx="197640" cy="228600"/>
                        </a:xfrm>
                        <a:prstGeom prst="rect">
                          <a:avLst/>
                        </a:prstGeom>
                        <a:solidFill>
                          <a:srgbClr val="ffffff"/>
                        </a:solidFill>
                        <a:ln>
                          <a:noFill/>
                        </a:ln>
                      </wps:spPr>
                      <wps:style>
                        <a:lnRef idx="0"/>
                        <a:fillRef idx="0"/>
                        <a:effectRef idx="0"/>
                        <a:fontRef idx="minor"/>
                      </wps:style>
                      <wps:txbx>
                        <w:txbxContent>
                          <w:p>
                            <w:pPr>
                              <w:pStyle w:val="Style28"/>
                              <w:rPr/>
                            </w:pPr>
                            <w:r>
                              <w:rPr/>
                            </w:r>
                          </w:p>
                        </w:txbxContent>
                      </wps:txbx>
                      <wps:bodyPr>
                        <a:noAutofit/>
                      </wps:bodyPr>
                    </wps:wsp>
                  </a:graphicData>
                </a:graphic>
              </wp:anchor>
            </w:drawing>
          </mc:Choice>
          <mc:Fallback>
            <w:pict>
              <v:rect id="shape_0" ID="Изображение1" fillcolor="white" stroked="f" style="position:absolute;margin-left:-153pt;margin-top:7.4pt;width:15.5pt;height:17.95pt">
                <w10:wrap type="none"/>
                <v:fill o:detectmouseclick="t" type="solid" color2="black"/>
                <v:stroke color="#3465a4" joinstyle="round" endcap="flat"/>
                <v:textbox>
                  <w:txbxContent>
                    <w:p>
                      <w:pPr>
                        <w:pStyle w:val="Style28"/>
                        <w:rPr/>
                      </w:pPr>
                      <w:r>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-2171700</wp:posOffset>
                </wp:positionH>
                <wp:positionV relativeFrom="paragraph">
                  <wp:posOffset>184150</wp:posOffset>
                </wp:positionV>
                <wp:extent cx="343535" cy="269875"/>
                <wp:effectExtent l="0" t="0" r="0" b="0"/>
                <wp:wrapNone/>
                <wp:docPr id="3" name="Изображение2"/>
                <a:graphic xmlns:a="http://schemas.openxmlformats.org/drawingml/2006/main">
                  <a:graphicData uri="http://schemas.microsoft.com/office/word/2010/wordprocessingShape">
                    <wps:wsp>
                      <wps:cNvSpPr/>
                      <wps:spPr>
                        <a:xfrm>
                          <a:off x="0" y="0"/>
                          <a:ext cx="343080" cy="269280"/>
                        </a:xfrm>
                        <a:prstGeom prst="rect">
                          <a:avLst/>
                        </a:prstGeom>
                        <a:solidFill>
                          <a:srgbClr val="ffffff"/>
                        </a:solidFill>
                        <a:ln>
                          <a:noFill/>
                        </a:ln>
                      </wps:spPr>
                      <wps:style>
                        <a:lnRef idx="0"/>
                        <a:fillRef idx="0"/>
                        <a:effectRef idx="0"/>
                        <a:fontRef idx="minor"/>
                      </wps:style>
                      <wps:txbx>
                        <w:txbxContent>
                          <w:p>
                            <w:pPr>
                              <w:pStyle w:val="Style28"/>
                              <w:rPr/>
                            </w:pPr>
                            <w:r>
                              <w:rPr/>
                            </w:r>
                          </w:p>
                        </w:txbxContent>
                      </wps:txbx>
                      <wps:bodyPr>
                        <a:noAutofit/>
                      </wps:bodyPr>
                    </wps:wsp>
                  </a:graphicData>
                </a:graphic>
              </wp:anchor>
            </w:drawing>
          </mc:Choice>
          <mc:Fallback>
            <w:pict>
              <v:rect id="shape_0" ID="Изображение2" fillcolor="white" stroked="f" style="position:absolute;margin-left:-171pt;margin-top:14.5pt;width:26.95pt;height:21.15pt">
                <w10:wrap type="none"/>
                <v:fill o:detectmouseclick="t" type="solid" color2="black"/>
                <v:stroke color="#3465a4" joinstyle="round" endcap="flat"/>
                <v:textbox>
                  <w:txbxContent>
                    <w:p>
                      <w:pPr>
                        <w:pStyle w:val="Style28"/>
                        <w:rPr/>
                      </w:pPr>
                      <w:r>
                        <w:rPr/>
                      </w:r>
                    </w:p>
                  </w:txbxContent>
                </v:textbox>
              </v:rect>
            </w:pict>
          </mc:Fallback>
        </mc:AlternateContent>
      </w:r>
      <w:r>
        <w:rPr>
          <w:sz w:val="24"/>
          <w:szCs w:val="24"/>
        </w:rPr>
        <w:t xml:space="preserve">В соответствии с Федеральным </w:t>
      </w:r>
      <w:hyperlink r:id="rId2">
        <w:r>
          <w:rPr>
            <w:sz w:val="24"/>
            <w:szCs w:val="24"/>
          </w:rPr>
          <w:t>законом</w:t>
        </w:r>
      </w:hyperlink>
      <w:r>
        <w:rPr>
          <w:sz w:val="24"/>
          <w:szCs w:val="24"/>
        </w:rPr>
        <w:t xml:space="preserve"> от 21.07.2005 № 115-ФЗ                                                 «</w:t>
      </w:r>
      <w:r>
        <w:rPr>
          <w:rFonts w:eastAsia="Calibri" w:eastAsiaTheme="minorHAnsi"/>
          <w:sz w:val="24"/>
          <w:szCs w:val="24"/>
          <w:lang w:eastAsia="en-US"/>
        </w:rPr>
        <w:t xml:space="preserve">О концессионных соглашениях», Федеральным законом от 06.10.2003 № 131-ФЗ                                  </w:t>
      </w:r>
      <w:r>
        <w:rPr>
          <w:sz w:val="24"/>
          <w:szCs w:val="24"/>
        </w:rPr>
        <w:t xml:space="preserve"> «Об общих принципах организации местного самоуправления в Российской Федерации»</w:t>
      </w:r>
      <w:r>
        <w:rPr>
          <w:color w:val="000000"/>
          <w:sz w:val="24"/>
          <w:szCs w:val="24"/>
          <w:lang w:bidi="ru-RU"/>
        </w:rPr>
        <w:t>, руководствуясь ст. 34 Устава города Шарыпово</w:t>
      </w:r>
      <w:r>
        <w:rPr>
          <w:color w:val="000000"/>
          <w:spacing w:val="1"/>
          <w:sz w:val="24"/>
          <w:szCs w:val="24"/>
        </w:rPr>
        <w:t xml:space="preserve">: </w:t>
      </w:r>
    </w:p>
    <w:p>
      <w:pPr>
        <w:pStyle w:val="ListParagraph"/>
        <w:widowControl w:val="false"/>
        <w:spacing w:before="0" w:after="0"/>
        <w:ind w:left="0" w:firstLine="709"/>
        <w:contextualSpacing/>
        <w:jc w:val="both"/>
        <w:rPr>
          <w:bCs/>
          <w:sz w:val="24"/>
          <w:szCs w:val="24"/>
          <w:lang w:val="ru-RU"/>
        </w:rPr>
      </w:pPr>
      <w:r>
        <w:rPr>
          <w:spacing w:val="1"/>
          <w:sz w:val="24"/>
          <w:szCs w:val="24"/>
          <w:lang w:val="ru-RU"/>
        </w:rPr>
        <w:t xml:space="preserve">1. Провести открытый конкурс на право заключения концессионного соглашения         </w:t>
      </w:r>
      <w:r>
        <w:rPr>
          <w:bCs/>
          <w:sz w:val="24"/>
          <w:szCs w:val="24"/>
          <w:lang w:val="ru-RU"/>
        </w:rPr>
        <w:t>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2. Установить, что Администрация города Шарыпово является органом уполномоченным на утверждение конкурсной документации по проведению открытого конкурса, внесению изменений в конкурсную документацию, созданию конкурсной комиссии по проведению открытого конкурса, утверждению персонального состава конкурсной комиссии.</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 xml:space="preserve">3. Установить, что полномочия концедента при заключении концессионного соглашения от имени муниципального образования </w:t>
      </w:r>
      <w:r>
        <w:rPr>
          <w:bCs/>
          <w:sz w:val="24"/>
          <w:szCs w:val="24"/>
          <w:lang w:val="ru-RU"/>
        </w:rPr>
        <w:t>«городской округ                          город Шарыпово Красноярского края»</w:t>
      </w:r>
      <w:r>
        <w:rPr>
          <w:spacing w:val="1"/>
          <w:sz w:val="24"/>
          <w:szCs w:val="24"/>
          <w:lang w:val="ru-RU"/>
        </w:rPr>
        <w:t xml:space="preserve"> осуществляет Администрация города Шарыпово. </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 xml:space="preserve">4. Установить, что организатором открытого конкурса на право заключения концессионного соглашения </w:t>
      </w:r>
      <w:r>
        <w:rPr>
          <w:bCs/>
          <w:sz w:val="24"/>
          <w:szCs w:val="24"/>
          <w:lang w:val="ru-RU"/>
        </w:rPr>
        <w:t xml:space="preserve">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 является Комитет по управлению муниципальным имуществом и земельными отношениями Администрации                                города Шарыпово. </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 xml:space="preserve">5. Создать конкурсную комиссию по проведению открытого конкурса,                            </w:t>
      </w:r>
      <w:r>
        <w:rPr>
          <w:sz w:val="24"/>
          <w:szCs w:val="24"/>
          <w:lang w:val="ru-RU"/>
        </w:rPr>
        <w:t>согласно приложению № 1 к настоящему распоряжению.</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6. Установить условия концессионного соглашения, согласно приложению № 2                    к настоящему распоряжению.</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7. Установить критерии конкурса и параметры критериев конкурса,                                  согласно приложению № 3 к настоящему распоряжению.</w:t>
      </w:r>
    </w:p>
    <w:p>
      <w:pPr>
        <w:pStyle w:val="ListParagraph"/>
        <w:widowControl w:val="false"/>
        <w:spacing w:before="0" w:after="0"/>
        <w:ind w:left="0" w:firstLine="709"/>
        <w:contextualSpacing/>
        <w:jc w:val="both"/>
        <w:rPr>
          <w:color w:val="000000" w:themeColor="text1"/>
          <w:spacing w:val="1"/>
          <w:sz w:val="24"/>
          <w:szCs w:val="24"/>
          <w:lang w:val="ru-RU"/>
        </w:rPr>
      </w:pPr>
      <w:r>
        <w:rPr>
          <w:spacing w:val="1"/>
          <w:sz w:val="24"/>
          <w:szCs w:val="24"/>
          <w:lang w:val="ru-RU"/>
        </w:rPr>
        <w:t xml:space="preserve">8. Опубликовать информационное сообщение о проведении открытого конкурса                            в периодическом печатном издании «Официальный вестник города Шарыпово»,                                  </w:t>
      </w:r>
      <w:r>
        <w:rPr>
          <w:color w:val="000000" w:themeColor="text1"/>
          <w:spacing w:val="1"/>
          <w:sz w:val="24"/>
          <w:szCs w:val="24"/>
          <w:lang w:val="ru-RU"/>
        </w:rPr>
        <w:t xml:space="preserve">в  информационно-телекоммуникационной сети «Интернет» на официальном сайте </w:t>
      </w:r>
      <w:hyperlink r:id="rId3">
        <w:r>
          <w:rPr>
            <w:color w:val="000000" w:themeColor="text1"/>
            <w:spacing w:val="1"/>
            <w:sz w:val="24"/>
            <w:szCs w:val="24"/>
          </w:rPr>
          <w:t>www</w:t>
        </w:r>
        <w:r>
          <w:rPr>
            <w:color w:val="000000" w:themeColor="text1"/>
            <w:spacing w:val="1"/>
            <w:sz w:val="24"/>
            <w:szCs w:val="24"/>
            <w:lang w:val="ru-RU"/>
          </w:rPr>
          <w:t>.</w:t>
        </w:r>
        <w:r>
          <w:rPr>
            <w:color w:val="000000" w:themeColor="text1"/>
            <w:sz w:val="24"/>
            <w:szCs w:val="24"/>
          </w:rPr>
          <w:t>torgi</w:t>
        </w:r>
        <w:r>
          <w:rPr>
            <w:color w:val="000000" w:themeColor="text1"/>
            <w:sz w:val="24"/>
            <w:szCs w:val="24"/>
            <w:lang w:val="ru-RU"/>
          </w:rPr>
          <w:t>.</w:t>
        </w:r>
        <w:r>
          <w:rPr>
            <w:color w:val="000000" w:themeColor="text1"/>
            <w:sz w:val="24"/>
            <w:szCs w:val="24"/>
          </w:rPr>
          <w:t>gov</w:t>
        </w:r>
        <w:r>
          <w:rPr>
            <w:color w:val="000000" w:themeColor="text1"/>
            <w:sz w:val="24"/>
            <w:szCs w:val="24"/>
            <w:lang w:val="ru-RU"/>
          </w:rPr>
          <w:t>.</w:t>
        </w:r>
        <w:r>
          <w:rPr>
            <w:color w:val="000000" w:themeColor="text1"/>
            <w:sz w:val="24"/>
            <w:szCs w:val="24"/>
          </w:rPr>
          <w:t>ru</w:t>
        </w:r>
      </w:hyperlink>
      <w:r>
        <w:rPr>
          <w:color w:val="000000" w:themeColor="text1"/>
          <w:sz w:val="24"/>
          <w:szCs w:val="24"/>
          <w:lang w:val="ru-RU"/>
        </w:rPr>
        <w:t xml:space="preserve"> и </w:t>
      </w:r>
      <w:r>
        <w:rPr>
          <w:color w:val="000000" w:themeColor="text1"/>
          <w:spacing w:val="1"/>
          <w:sz w:val="24"/>
          <w:szCs w:val="24"/>
          <w:lang w:val="ru-RU"/>
        </w:rPr>
        <w:t xml:space="preserve">на официальном сайте муниципального образования                                </w:t>
      </w:r>
      <w:r>
        <w:rPr>
          <w:bCs/>
          <w:sz w:val="24"/>
          <w:szCs w:val="24"/>
          <w:lang w:val="ru-RU"/>
        </w:rPr>
        <w:t>«городской округ город Шарыпово Красноярского края»</w:t>
      </w:r>
      <w:r>
        <w:rPr>
          <w:color w:val="000000" w:themeColor="text1"/>
          <w:spacing w:val="1"/>
          <w:sz w:val="24"/>
          <w:szCs w:val="24"/>
          <w:lang w:val="ru-RU"/>
        </w:rPr>
        <w:t xml:space="preserve"> </w:t>
      </w:r>
      <w:hyperlink r:id="rId4">
        <w:r>
          <w:rPr>
            <w:color w:val="000000" w:themeColor="text1"/>
            <w:spacing w:val="1"/>
            <w:sz w:val="24"/>
            <w:szCs w:val="24"/>
          </w:rPr>
          <w:t>www</w:t>
        </w:r>
        <w:r>
          <w:rPr>
            <w:color w:val="000000" w:themeColor="text1"/>
            <w:spacing w:val="1"/>
            <w:sz w:val="24"/>
            <w:szCs w:val="24"/>
            <w:lang w:val="ru-RU"/>
          </w:rPr>
          <w:t>.</w:t>
        </w:r>
        <w:r>
          <w:rPr>
            <w:color w:val="000000" w:themeColor="text1"/>
            <w:spacing w:val="1"/>
            <w:sz w:val="24"/>
            <w:szCs w:val="24"/>
          </w:rPr>
          <w:t>gorodsharypovo</w:t>
        </w:r>
        <w:r>
          <w:rPr>
            <w:color w:val="000000" w:themeColor="text1"/>
            <w:spacing w:val="1"/>
            <w:sz w:val="24"/>
            <w:szCs w:val="24"/>
            <w:lang w:val="ru-RU"/>
          </w:rPr>
          <w:t>.</w:t>
        </w:r>
        <w:r>
          <w:rPr>
            <w:color w:val="000000" w:themeColor="text1"/>
            <w:spacing w:val="1"/>
            <w:sz w:val="24"/>
            <w:szCs w:val="24"/>
          </w:rPr>
          <w:t>ru</w:t>
        </w:r>
      </w:hyperlink>
      <w:r>
        <w:rPr>
          <w:color w:val="000000" w:themeColor="text1"/>
          <w:spacing w:val="1"/>
          <w:sz w:val="24"/>
          <w:szCs w:val="24"/>
          <w:lang w:val="ru-RU"/>
        </w:rPr>
        <w:t xml:space="preserve">. </w:t>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t>9. Установить основные мероприятия и минимально допустимые плановые значения показателей деятельности концессионера, согласно приложениям № 4                                 к настоящему распоряжению.</w:t>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t>10. Установить минимально допустимые плановые значения показателей деятельности концессионера и долгосрочные параметры регулирования,                                                      не установленные в качестве критериев конкурса, согласно распоряжению № 5                                  к настоящему распоряжению.</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11. Утвердить конкурсную документацию, согласно приложению № 6                                       к настоящему распоряжению.</w:t>
      </w:r>
    </w:p>
    <w:p>
      <w:pPr>
        <w:pStyle w:val="ListParagraph"/>
        <w:widowControl w:val="false"/>
        <w:tabs>
          <w:tab w:val="clear" w:pos="708"/>
          <w:tab w:val="left" w:pos="0" w:leader="none"/>
          <w:tab w:val="left" w:pos="709" w:leader="none"/>
          <w:tab w:val="left" w:pos="1134" w:leader="none"/>
        </w:tabs>
        <w:spacing w:before="0" w:after="0"/>
        <w:ind w:left="0" w:firstLine="709"/>
        <w:contextualSpacing/>
        <w:jc w:val="both"/>
        <w:rPr>
          <w:sz w:val="24"/>
          <w:szCs w:val="24"/>
          <w:lang w:val="ru-RU"/>
        </w:rPr>
      </w:pPr>
      <w:r>
        <w:rPr>
          <w:color w:val="000000" w:themeColor="text1"/>
          <w:sz w:val="24"/>
          <w:szCs w:val="24"/>
          <w:lang w:val="ru-RU"/>
        </w:rPr>
        <w:t>12. Контроль</w:t>
      </w:r>
      <w:r>
        <w:rPr>
          <w:sz w:val="24"/>
          <w:szCs w:val="24"/>
          <w:lang w:val="ru-RU"/>
        </w:rPr>
        <w:t xml:space="preserve"> за исполнением настоящего распоряжения возложить                                         на Д.Е. Гудкова - Первого заместителя Главы города Шарыпово.</w:t>
      </w:r>
    </w:p>
    <w:p>
      <w:pPr>
        <w:pStyle w:val="ListParagraph"/>
        <w:widowControl w:val="false"/>
        <w:spacing w:before="0" w:after="0"/>
        <w:ind w:left="0" w:firstLine="709"/>
        <w:contextualSpacing/>
        <w:jc w:val="both"/>
        <w:rPr>
          <w:spacing w:val="1"/>
          <w:sz w:val="24"/>
          <w:szCs w:val="24"/>
          <w:lang w:val="ru-RU"/>
        </w:rPr>
      </w:pPr>
      <w:r>
        <w:rPr>
          <w:spacing w:val="1"/>
          <w:sz w:val="24"/>
          <w:szCs w:val="24"/>
          <w:lang w:val="ru-RU"/>
        </w:rPr>
        <w:t xml:space="preserve">13. Настоящее </w:t>
      </w:r>
      <w:r>
        <w:rPr>
          <w:sz w:val="24"/>
          <w:szCs w:val="24"/>
          <w:lang w:val="ru-RU"/>
        </w:rPr>
        <w:t xml:space="preserve">распоряжение вступает в силу со дня его подписания и подлежит размещению на официальном сайте </w:t>
      </w:r>
      <w:r>
        <w:rPr>
          <w:spacing w:val="1"/>
          <w:sz w:val="24"/>
          <w:szCs w:val="24"/>
          <w:lang w:val="ru-RU"/>
        </w:rPr>
        <w:t xml:space="preserve">муниципального образования </w:t>
      </w:r>
      <w:r>
        <w:rPr>
          <w:bCs/>
          <w:sz w:val="24"/>
          <w:szCs w:val="24"/>
          <w:lang w:val="ru-RU"/>
        </w:rPr>
        <w:t>«городской округ                          город Шарыпово Красноярского края»</w:t>
      </w:r>
      <w:r>
        <w:rPr>
          <w:spacing w:val="1"/>
          <w:sz w:val="24"/>
          <w:szCs w:val="24"/>
          <w:lang w:val="ru-RU"/>
        </w:rPr>
        <w:t xml:space="preserve"> </w:t>
      </w:r>
      <w:r>
        <w:rPr>
          <w:spacing w:val="1"/>
          <w:sz w:val="24"/>
          <w:szCs w:val="24"/>
        </w:rPr>
        <w:t>www</w:t>
      </w:r>
      <w:r>
        <w:rPr>
          <w:spacing w:val="1"/>
          <w:sz w:val="24"/>
          <w:szCs w:val="24"/>
          <w:lang w:val="ru-RU"/>
        </w:rPr>
        <w:t>.</w:t>
      </w:r>
      <w:r>
        <w:rPr>
          <w:spacing w:val="1"/>
          <w:sz w:val="24"/>
          <w:szCs w:val="24"/>
        </w:rPr>
        <w:t>gorodsharypovo</w:t>
      </w:r>
      <w:r>
        <w:rPr>
          <w:spacing w:val="1"/>
          <w:sz w:val="24"/>
          <w:szCs w:val="24"/>
          <w:lang w:val="ru-RU"/>
        </w:rPr>
        <w:t>.</w:t>
      </w:r>
      <w:r>
        <w:rPr>
          <w:spacing w:val="1"/>
          <w:sz w:val="24"/>
          <w:szCs w:val="24"/>
        </w:rPr>
        <w:t>ru</w:t>
      </w:r>
      <w:r>
        <w:rPr>
          <w:spacing w:val="1"/>
          <w:sz w:val="24"/>
          <w:szCs w:val="24"/>
          <w:lang w:val="ru-RU"/>
        </w:rPr>
        <w:t>.</w:t>
      </w:r>
    </w:p>
    <w:p>
      <w:pPr>
        <w:pStyle w:val="Bodytext1"/>
        <w:widowControl w:val="false"/>
        <w:shd w:val="clear" w:color="auto" w:fill="auto"/>
        <w:tabs>
          <w:tab w:val="clear" w:pos="708"/>
          <w:tab w:val="left" w:pos="96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22"/>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t>Глава города Шарыпово                                                                                   Н.А. Петровская</w:t>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2"/>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Normal"/>
        <w:jc w:val="right"/>
        <w:rPr>
          <w:sz w:val="24"/>
          <w:szCs w:val="24"/>
        </w:rPr>
      </w:pPr>
      <w:r>
        <w:rPr>
          <w:rFonts w:eastAsia="Calibri" w:eastAsiaTheme="minorHAnsi"/>
          <w:sz w:val="28"/>
          <w:szCs w:val="28"/>
          <w:lang w:eastAsia="en-US"/>
        </w:rPr>
        <w:tab/>
      </w:r>
      <w:r>
        <w:rPr>
          <w:sz w:val="24"/>
          <w:szCs w:val="24"/>
        </w:rPr>
        <w:t>Приложение № 1</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08.04.2022  №  629</w:t>
      </w:r>
    </w:p>
    <w:p>
      <w:pPr>
        <w:pStyle w:val="Normal"/>
        <w:ind w:firstLine="709"/>
        <w:jc w:val="right"/>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jc w:val="center"/>
        <w:rPr>
          <w:rFonts w:eastAsia="Calibri" w:eastAsiaTheme="minorHAnsi"/>
          <w:b/>
          <w:b/>
          <w:sz w:val="24"/>
          <w:szCs w:val="24"/>
          <w:lang w:eastAsia="en-US"/>
        </w:rPr>
      </w:pPr>
      <w:r>
        <w:rPr>
          <w:rFonts w:eastAsia="Calibri" w:eastAsiaTheme="minorHAnsi"/>
          <w:b/>
          <w:sz w:val="24"/>
          <w:szCs w:val="24"/>
          <w:lang w:eastAsia="en-US"/>
        </w:rPr>
        <w:t xml:space="preserve">Состав конкурсной комиссии </w:t>
      </w:r>
    </w:p>
    <w:p>
      <w:pPr>
        <w:pStyle w:val="Normal"/>
        <w:jc w:val="center"/>
        <w:rPr>
          <w:b/>
          <w:b/>
          <w:bCs/>
          <w:sz w:val="24"/>
          <w:szCs w:val="24"/>
        </w:rPr>
      </w:pPr>
      <w:r>
        <w:rPr>
          <w:b/>
          <w:spacing w:val="1"/>
          <w:sz w:val="24"/>
          <w:szCs w:val="24"/>
        </w:rPr>
        <w:t xml:space="preserve">по проведению открытого конкурса на право заключения концессионного соглашения </w:t>
      </w:r>
      <w:r>
        <w:rPr>
          <w:b/>
          <w:bCs/>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p>
    <w:p>
      <w:pPr>
        <w:pStyle w:val="Normal"/>
        <w:jc w:val="center"/>
        <w:rPr>
          <w:b/>
          <w:b/>
          <w:bCs/>
          <w:sz w:val="24"/>
          <w:szCs w:val="24"/>
        </w:rPr>
      </w:pPr>
      <w:r>
        <w:rPr>
          <w:b/>
          <w:bCs/>
          <w:sz w:val="24"/>
          <w:szCs w:val="24"/>
        </w:rPr>
        <w:t>«городской округ город Шарыпово Красноярского края»</w:t>
      </w:r>
    </w:p>
    <w:p>
      <w:pPr>
        <w:pStyle w:val="Normal"/>
        <w:jc w:val="center"/>
        <w:rPr>
          <w:rFonts w:eastAsia="Calibri" w:eastAsiaTheme="minorHAnsi"/>
          <w:b/>
          <w:b/>
          <w:sz w:val="24"/>
          <w:szCs w:val="24"/>
          <w:lang w:eastAsia="en-US"/>
        </w:rPr>
      </w:pPr>
      <w:r>
        <w:rPr>
          <w:rFonts w:eastAsia="Calibri" w:eastAsiaTheme="minorHAnsi"/>
          <w:b/>
          <w:sz w:val="24"/>
          <w:szCs w:val="24"/>
          <w:lang w:eastAsia="en-US"/>
        </w:rPr>
      </w:r>
    </w:p>
    <w:tbl>
      <w:tblPr>
        <w:tblStyle w:val="af0"/>
        <w:tblW w:w="9564" w:type="dxa"/>
        <w:jc w:val="left"/>
        <w:tblInd w:w="0" w:type="dxa"/>
        <w:tblCellMar>
          <w:top w:w="0" w:type="dxa"/>
          <w:left w:w="108" w:type="dxa"/>
          <w:bottom w:w="0" w:type="dxa"/>
          <w:right w:w="108" w:type="dxa"/>
        </w:tblCellMar>
        <w:tblLook w:val="04a0"/>
      </w:tblPr>
      <w:tblGrid>
        <w:gridCol w:w="4640"/>
        <w:gridCol w:w="4923"/>
      </w:tblGrid>
      <w:tr>
        <w:trPr/>
        <w:tc>
          <w:tcPr>
            <w:tcW w:w="9563" w:type="dxa"/>
            <w:gridSpan w:val="2"/>
            <w:tcBorders/>
          </w:tcPr>
          <w:p>
            <w:pPr>
              <w:pStyle w:val="Normal"/>
              <w:tabs>
                <w:tab w:val="clear" w:pos="708"/>
                <w:tab w:val="left" w:pos="3619" w:leader="none"/>
              </w:tabs>
              <w:jc w:val="center"/>
              <w:rPr>
                <w:sz w:val="24"/>
                <w:szCs w:val="24"/>
              </w:rPr>
            </w:pPr>
            <w:r>
              <w:rPr>
                <w:sz w:val="24"/>
                <w:szCs w:val="24"/>
              </w:rPr>
              <w:t>Председатель комиссии</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Петровская Наталья Александровна</w:t>
            </w:r>
          </w:p>
        </w:tc>
        <w:tc>
          <w:tcPr>
            <w:tcW w:w="4923" w:type="dxa"/>
            <w:tcBorders/>
          </w:tcPr>
          <w:p>
            <w:pPr>
              <w:pStyle w:val="Normal"/>
              <w:tabs>
                <w:tab w:val="clear" w:pos="708"/>
                <w:tab w:val="left" w:pos="3619" w:leader="none"/>
              </w:tabs>
              <w:jc w:val="center"/>
              <w:rPr>
                <w:sz w:val="24"/>
                <w:szCs w:val="24"/>
              </w:rPr>
            </w:pPr>
            <w:r>
              <w:rPr>
                <w:sz w:val="24"/>
                <w:szCs w:val="24"/>
              </w:rPr>
              <w:t>Глава города Шарыпово</w:t>
            </w:r>
          </w:p>
          <w:p>
            <w:pPr>
              <w:pStyle w:val="Normal"/>
              <w:tabs>
                <w:tab w:val="clear" w:pos="708"/>
                <w:tab w:val="left" w:pos="3619" w:leader="none"/>
              </w:tabs>
              <w:jc w:val="center"/>
              <w:rPr>
                <w:sz w:val="24"/>
                <w:szCs w:val="24"/>
              </w:rPr>
            </w:pPr>
            <w:r>
              <w:rPr>
                <w:sz w:val="24"/>
                <w:szCs w:val="24"/>
              </w:rPr>
            </w:r>
          </w:p>
        </w:tc>
      </w:tr>
      <w:tr>
        <w:trPr/>
        <w:tc>
          <w:tcPr>
            <w:tcW w:w="9563" w:type="dxa"/>
            <w:gridSpan w:val="2"/>
            <w:tcBorders/>
          </w:tcPr>
          <w:p>
            <w:pPr>
              <w:pStyle w:val="Normal"/>
              <w:tabs>
                <w:tab w:val="clear" w:pos="708"/>
                <w:tab w:val="left" w:pos="3619" w:leader="none"/>
              </w:tabs>
              <w:jc w:val="center"/>
              <w:rPr>
                <w:sz w:val="24"/>
                <w:szCs w:val="24"/>
              </w:rPr>
            </w:pPr>
            <w:r>
              <w:rPr>
                <w:sz w:val="24"/>
                <w:szCs w:val="24"/>
              </w:rPr>
              <w:t>Заместитель председателя комиссии</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Гудков Дмитрий Евгеньевич</w:t>
            </w:r>
          </w:p>
        </w:tc>
        <w:tc>
          <w:tcPr>
            <w:tcW w:w="4923" w:type="dxa"/>
            <w:tcBorders/>
          </w:tcPr>
          <w:p>
            <w:pPr>
              <w:pStyle w:val="Normal"/>
              <w:tabs>
                <w:tab w:val="clear" w:pos="708"/>
                <w:tab w:val="left" w:pos="3619" w:leader="none"/>
              </w:tabs>
              <w:jc w:val="center"/>
              <w:rPr>
                <w:sz w:val="24"/>
                <w:szCs w:val="24"/>
              </w:rPr>
            </w:pPr>
            <w:r>
              <w:rPr>
                <w:sz w:val="24"/>
                <w:szCs w:val="24"/>
              </w:rPr>
              <w:t xml:space="preserve">Первый заместитель </w:t>
            </w:r>
          </w:p>
          <w:p>
            <w:pPr>
              <w:pStyle w:val="Normal"/>
              <w:tabs>
                <w:tab w:val="clear" w:pos="708"/>
                <w:tab w:val="left" w:pos="3619" w:leader="none"/>
              </w:tabs>
              <w:jc w:val="center"/>
              <w:rPr>
                <w:sz w:val="24"/>
                <w:szCs w:val="24"/>
              </w:rPr>
            </w:pPr>
            <w:r>
              <w:rPr>
                <w:sz w:val="24"/>
                <w:szCs w:val="24"/>
              </w:rPr>
              <w:t>Главы города Шарыпово</w:t>
            </w:r>
          </w:p>
        </w:tc>
      </w:tr>
      <w:tr>
        <w:trPr/>
        <w:tc>
          <w:tcPr>
            <w:tcW w:w="9563" w:type="dxa"/>
            <w:gridSpan w:val="2"/>
            <w:tcBorders/>
          </w:tcPr>
          <w:p>
            <w:pPr>
              <w:pStyle w:val="Normal"/>
              <w:tabs>
                <w:tab w:val="clear" w:pos="708"/>
                <w:tab w:val="left" w:pos="3619" w:leader="none"/>
              </w:tabs>
              <w:jc w:val="center"/>
              <w:rPr>
                <w:sz w:val="24"/>
                <w:szCs w:val="24"/>
              </w:rPr>
            </w:pPr>
            <w:r>
              <w:rPr>
                <w:sz w:val="24"/>
                <w:szCs w:val="24"/>
              </w:rPr>
              <w:t>Члены комиссии</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Тепляков Виктор Анатольевич</w:t>
            </w:r>
          </w:p>
        </w:tc>
        <w:tc>
          <w:tcPr>
            <w:tcW w:w="4923" w:type="dxa"/>
            <w:tcBorders/>
          </w:tcPr>
          <w:p>
            <w:pPr>
              <w:pStyle w:val="Normal"/>
              <w:tabs>
                <w:tab w:val="clear" w:pos="708"/>
                <w:tab w:val="left" w:pos="3619" w:leader="none"/>
              </w:tabs>
              <w:jc w:val="center"/>
              <w:rPr>
                <w:sz w:val="24"/>
                <w:szCs w:val="24"/>
              </w:rPr>
            </w:pPr>
            <w:r>
              <w:rPr>
                <w:sz w:val="24"/>
                <w:szCs w:val="24"/>
              </w:rPr>
              <w:t>Начальник юридического отдела Администрации города Шарыпово</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Андриянова Инна Геннадьевна</w:t>
            </w:r>
          </w:p>
        </w:tc>
        <w:tc>
          <w:tcPr>
            <w:tcW w:w="4923" w:type="dxa"/>
            <w:tcBorders/>
          </w:tcPr>
          <w:p>
            <w:pPr>
              <w:pStyle w:val="Normal"/>
              <w:tabs>
                <w:tab w:val="clear" w:pos="708"/>
                <w:tab w:val="left" w:pos="3619" w:leader="none"/>
              </w:tabs>
              <w:jc w:val="center"/>
              <w:rPr>
                <w:sz w:val="24"/>
                <w:szCs w:val="24"/>
              </w:rPr>
            </w:pPr>
            <w:r>
              <w:rPr>
                <w:sz w:val="24"/>
                <w:szCs w:val="24"/>
              </w:rPr>
              <w:t>Начальник отдела</w:t>
            </w:r>
          </w:p>
          <w:p>
            <w:pPr>
              <w:pStyle w:val="Normal"/>
              <w:tabs>
                <w:tab w:val="clear" w:pos="708"/>
                <w:tab w:val="left" w:pos="3619" w:leader="none"/>
              </w:tabs>
              <w:jc w:val="center"/>
              <w:rPr>
                <w:sz w:val="24"/>
                <w:szCs w:val="24"/>
              </w:rPr>
            </w:pPr>
            <w:r>
              <w:rPr>
                <w:sz w:val="24"/>
                <w:szCs w:val="24"/>
              </w:rPr>
              <w:t>экономики и планирования Администрации города Шарыпово</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Шайганова Ирина Викторовна</w:t>
            </w:r>
          </w:p>
        </w:tc>
        <w:tc>
          <w:tcPr>
            <w:tcW w:w="4923" w:type="dxa"/>
            <w:tcBorders/>
          </w:tcPr>
          <w:p>
            <w:pPr>
              <w:pStyle w:val="Normal"/>
              <w:tabs>
                <w:tab w:val="clear" w:pos="708"/>
                <w:tab w:val="left" w:pos="3619" w:leader="none"/>
              </w:tabs>
              <w:jc w:val="center"/>
              <w:rPr>
                <w:sz w:val="24"/>
                <w:szCs w:val="24"/>
              </w:rPr>
            </w:pPr>
            <w:r>
              <w:rPr>
                <w:sz w:val="24"/>
                <w:szCs w:val="24"/>
              </w:rPr>
              <w:t>Директор</w:t>
            </w:r>
          </w:p>
          <w:p>
            <w:pPr>
              <w:pStyle w:val="Normal"/>
              <w:tabs>
                <w:tab w:val="clear" w:pos="708"/>
                <w:tab w:val="left" w:pos="3619" w:leader="none"/>
              </w:tabs>
              <w:jc w:val="center"/>
              <w:rPr>
                <w:sz w:val="24"/>
                <w:szCs w:val="24"/>
              </w:rPr>
            </w:pPr>
            <w:r>
              <w:rPr>
                <w:sz w:val="24"/>
                <w:szCs w:val="24"/>
              </w:rPr>
              <w:t>МКУ «Служба городского хозяйства»</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Андриянова Ольга Геннадьевна</w:t>
            </w:r>
          </w:p>
        </w:tc>
        <w:tc>
          <w:tcPr>
            <w:tcW w:w="4923" w:type="dxa"/>
            <w:tcBorders/>
          </w:tcPr>
          <w:p>
            <w:pPr>
              <w:pStyle w:val="Normal"/>
              <w:tabs>
                <w:tab w:val="clear" w:pos="708"/>
                <w:tab w:val="left" w:pos="3619" w:leader="none"/>
              </w:tabs>
              <w:jc w:val="center"/>
              <w:rPr>
                <w:sz w:val="24"/>
                <w:szCs w:val="24"/>
              </w:rPr>
            </w:pPr>
            <w:r>
              <w:rPr>
                <w:sz w:val="24"/>
                <w:szCs w:val="24"/>
              </w:rPr>
              <w:t>Руководитель</w:t>
            </w:r>
          </w:p>
          <w:p>
            <w:pPr>
              <w:pStyle w:val="Normal"/>
              <w:tabs>
                <w:tab w:val="clear" w:pos="708"/>
                <w:tab w:val="left" w:pos="3619" w:leader="none"/>
              </w:tabs>
              <w:jc w:val="center"/>
              <w:rPr>
                <w:sz w:val="24"/>
                <w:szCs w:val="24"/>
              </w:rPr>
            </w:pPr>
            <w:r>
              <w:rPr>
                <w:sz w:val="24"/>
                <w:szCs w:val="24"/>
              </w:rPr>
              <w:t>КУМИ Администрации г. Шарыпово</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Иванова Ирина Алексеевна</w:t>
            </w:r>
          </w:p>
        </w:tc>
        <w:tc>
          <w:tcPr>
            <w:tcW w:w="4923" w:type="dxa"/>
            <w:tcBorders/>
          </w:tcPr>
          <w:p>
            <w:pPr>
              <w:pStyle w:val="Normal"/>
              <w:jc w:val="center"/>
              <w:rPr>
                <w:sz w:val="24"/>
                <w:szCs w:val="24"/>
              </w:rPr>
            </w:pPr>
            <w:r>
              <w:rPr>
                <w:rFonts w:eastAsia="Times New Roman"/>
                <w:sz w:val="24"/>
                <w:szCs w:val="24"/>
              </w:rPr>
              <w:t>Начальник отдела</w:t>
            </w:r>
          </w:p>
          <w:p>
            <w:pPr>
              <w:pStyle w:val="Normal"/>
              <w:jc w:val="center"/>
              <w:rPr>
                <w:rFonts w:eastAsia="Times New Roman"/>
                <w:sz w:val="24"/>
                <w:szCs w:val="24"/>
              </w:rPr>
            </w:pPr>
            <w:r>
              <w:rPr>
                <w:rFonts w:eastAsia="Times New Roman"/>
                <w:sz w:val="24"/>
                <w:szCs w:val="24"/>
              </w:rPr>
              <w:t>земельно-имущественных отношений</w:t>
            </w:r>
          </w:p>
          <w:p>
            <w:pPr>
              <w:pStyle w:val="Normal"/>
              <w:jc w:val="center"/>
              <w:rPr>
                <w:sz w:val="24"/>
                <w:szCs w:val="24"/>
              </w:rPr>
            </w:pPr>
            <w:r>
              <w:rPr>
                <w:sz w:val="24"/>
                <w:szCs w:val="24"/>
              </w:rPr>
              <w:t xml:space="preserve"> </w:t>
            </w:r>
            <w:r>
              <w:rPr>
                <w:sz w:val="24"/>
                <w:szCs w:val="24"/>
              </w:rPr>
              <w:t>КУМИ Администрации г. Шарыпово</w:t>
            </w:r>
          </w:p>
          <w:p>
            <w:pPr>
              <w:pStyle w:val="Normal"/>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Пилимонкина Татьяна Викторовна</w:t>
            </w:r>
          </w:p>
        </w:tc>
        <w:tc>
          <w:tcPr>
            <w:tcW w:w="4923" w:type="dxa"/>
            <w:tcBorders/>
          </w:tcPr>
          <w:p>
            <w:pPr>
              <w:pStyle w:val="Normal"/>
              <w:jc w:val="center"/>
              <w:rPr>
                <w:sz w:val="24"/>
                <w:szCs w:val="24"/>
              </w:rPr>
            </w:pPr>
            <w:r>
              <w:rPr>
                <w:sz w:val="24"/>
                <w:szCs w:val="24"/>
              </w:rPr>
              <w:t>Главный специалист</w:t>
            </w:r>
          </w:p>
          <w:p>
            <w:pPr>
              <w:pStyle w:val="Normal"/>
              <w:jc w:val="center"/>
              <w:rPr>
                <w:sz w:val="24"/>
                <w:szCs w:val="24"/>
              </w:rPr>
            </w:pPr>
            <w:r>
              <w:rPr>
                <w:sz w:val="24"/>
                <w:szCs w:val="24"/>
              </w:rPr>
              <w:t>по имущественным отношениям</w:t>
            </w:r>
          </w:p>
          <w:p>
            <w:pPr>
              <w:pStyle w:val="Normal"/>
              <w:jc w:val="center"/>
              <w:rPr>
                <w:sz w:val="24"/>
                <w:szCs w:val="24"/>
              </w:rPr>
            </w:pPr>
            <w:r>
              <w:rPr>
                <w:sz w:val="24"/>
                <w:szCs w:val="24"/>
              </w:rPr>
              <w:t>КУМИ Администрации г. Шарыпово</w:t>
            </w:r>
          </w:p>
          <w:p>
            <w:pPr>
              <w:pStyle w:val="Normal"/>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Широченкова Юлия Юрьевна</w:t>
            </w:r>
          </w:p>
        </w:tc>
        <w:tc>
          <w:tcPr>
            <w:tcW w:w="4923" w:type="dxa"/>
            <w:tcBorders/>
          </w:tcPr>
          <w:p>
            <w:pPr>
              <w:pStyle w:val="Normal"/>
              <w:jc w:val="center"/>
              <w:rPr>
                <w:sz w:val="24"/>
                <w:szCs w:val="24"/>
              </w:rPr>
            </w:pPr>
            <w:r>
              <w:rPr>
                <w:rFonts w:eastAsia="Times New Roman"/>
                <w:sz w:val="24"/>
                <w:szCs w:val="24"/>
              </w:rPr>
              <w:t>Главный специалист</w:t>
            </w:r>
          </w:p>
          <w:p>
            <w:pPr>
              <w:pStyle w:val="Normal"/>
              <w:jc w:val="center"/>
              <w:rPr>
                <w:sz w:val="24"/>
                <w:szCs w:val="24"/>
              </w:rPr>
            </w:pPr>
            <w:r>
              <w:rPr>
                <w:rFonts w:eastAsia="Times New Roman"/>
                <w:sz w:val="24"/>
                <w:szCs w:val="24"/>
              </w:rPr>
              <w:t>по правовым вопросам</w:t>
            </w:r>
            <w:r>
              <w:rPr>
                <w:sz w:val="24"/>
                <w:szCs w:val="24"/>
              </w:rPr>
              <w:t xml:space="preserve"> </w:t>
            </w:r>
          </w:p>
          <w:p>
            <w:pPr>
              <w:pStyle w:val="Normal"/>
              <w:jc w:val="center"/>
              <w:rPr>
                <w:sz w:val="24"/>
                <w:szCs w:val="24"/>
              </w:rPr>
            </w:pPr>
            <w:r>
              <w:rPr>
                <w:sz w:val="24"/>
                <w:szCs w:val="24"/>
              </w:rPr>
              <w:t>КУМИ Администрации г. Шарыпово</w:t>
            </w:r>
          </w:p>
          <w:p>
            <w:pPr>
              <w:pStyle w:val="Normal"/>
              <w:jc w:val="center"/>
              <w:rPr>
                <w:sz w:val="24"/>
                <w:szCs w:val="24"/>
              </w:rPr>
            </w:pPr>
            <w:r>
              <w:rPr>
                <w:sz w:val="24"/>
                <w:szCs w:val="24"/>
              </w:rPr>
            </w:r>
          </w:p>
        </w:tc>
      </w:tr>
    </w:tbl>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
        <w:jc w:val="right"/>
        <w:rPr>
          <w:sz w:val="24"/>
          <w:szCs w:val="24"/>
        </w:rPr>
      </w:pPr>
      <w:r>
        <w:rPr>
          <w:sz w:val="24"/>
          <w:szCs w:val="24"/>
        </w:rPr>
        <w:t>Приложение № 2</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08.04.2022  №  629</w:t>
      </w:r>
    </w:p>
    <w:p>
      <w:pPr>
        <w:pStyle w:val="Normal"/>
        <w:jc w:val="right"/>
        <w:rPr>
          <w:rFonts w:eastAsia="Calibri" w:eastAsiaTheme="minorHAnsi"/>
          <w:sz w:val="28"/>
          <w:szCs w:val="28"/>
          <w:lang w:eastAsia="en-US"/>
        </w:rPr>
      </w:pPr>
      <w:r>
        <w:rPr>
          <w:rFonts w:eastAsia="Calibri" w:eastAsiaTheme="minorHAnsi"/>
          <w:sz w:val="28"/>
          <w:szCs w:val="28"/>
          <w:lang w:eastAsia="en-US"/>
        </w:rPr>
        <w:tab/>
      </w:r>
    </w:p>
    <w:p>
      <w:pPr>
        <w:pStyle w:val="Normal"/>
        <w:jc w:val="center"/>
        <w:rPr>
          <w:rFonts w:eastAsia="Calibri" w:eastAsiaTheme="minorHAnsi"/>
          <w:sz w:val="28"/>
          <w:szCs w:val="28"/>
          <w:lang w:eastAsia="en-US"/>
        </w:rPr>
      </w:pPr>
      <w:r>
        <w:rPr>
          <w:rFonts w:eastAsia="Calibri" w:eastAsiaTheme="minorHAnsi"/>
          <w:sz w:val="28"/>
          <w:szCs w:val="28"/>
          <w:lang w:eastAsia="en-US"/>
        </w:rPr>
      </w:r>
    </w:p>
    <w:p>
      <w:pPr>
        <w:pStyle w:val="Normal"/>
        <w:jc w:val="center"/>
        <w:rPr>
          <w:rFonts w:eastAsia="Calibri" w:eastAsiaTheme="minorHAnsi"/>
          <w:b/>
          <w:b/>
          <w:sz w:val="24"/>
          <w:szCs w:val="24"/>
          <w:lang w:eastAsia="en-US"/>
        </w:rPr>
      </w:pPr>
      <w:r>
        <w:rPr>
          <w:rFonts w:eastAsia="Calibri" w:eastAsiaTheme="minorHAnsi"/>
          <w:b/>
          <w:sz w:val="24"/>
          <w:szCs w:val="24"/>
          <w:lang w:eastAsia="en-US"/>
        </w:rPr>
        <w:t>Условия концессионного соглашения</w:t>
      </w:r>
    </w:p>
    <w:p>
      <w:pPr>
        <w:pStyle w:val="Normal"/>
        <w:jc w:val="center"/>
        <w:rPr>
          <w:rFonts w:eastAsia="Calibri" w:eastAsiaTheme="minorHAnsi"/>
          <w:sz w:val="28"/>
          <w:szCs w:val="28"/>
          <w:lang w:eastAsia="en-US"/>
        </w:rPr>
      </w:pPr>
      <w:r>
        <w:rPr>
          <w:rFonts w:eastAsia="Calibri" w:eastAsiaTheme="minorHAnsi"/>
          <w:sz w:val="28"/>
          <w:szCs w:val="28"/>
          <w:lang w:eastAsia="en-US"/>
        </w:rPr>
      </w:r>
    </w:p>
    <w:p>
      <w:pPr>
        <w:pStyle w:val="Normal"/>
        <w:ind w:firstLine="709"/>
        <w:jc w:val="both"/>
        <w:rPr>
          <w:rFonts w:eastAsia="Times New Roman"/>
          <w:sz w:val="24"/>
          <w:szCs w:val="24"/>
        </w:rPr>
      </w:pPr>
      <w:r>
        <w:rPr>
          <w:rFonts w:eastAsia="Times New Roman"/>
          <w:sz w:val="24"/>
          <w:szCs w:val="24"/>
        </w:rPr>
        <w:t>Концессионное соглашение заключается с целью реконструкции                                                за счет концессионера и иных привлеченных им средств Объекта соглашения в срок, указанный в концессионном соглашении, в соответствии с конкретными предложениями победителя конкурса.</w:t>
      </w:r>
    </w:p>
    <w:p>
      <w:pPr>
        <w:pStyle w:val="Normal"/>
        <w:ind w:firstLine="709"/>
        <w:jc w:val="both"/>
        <w:rPr>
          <w:rFonts w:eastAsia="Times New Roman"/>
          <w:sz w:val="24"/>
          <w:szCs w:val="24"/>
        </w:rPr>
      </w:pPr>
      <w:r>
        <w:rPr>
          <w:rFonts w:eastAsia="Times New Roman"/>
          <w:sz w:val="24"/>
          <w:szCs w:val="24"/>
        </w:rPr>
        <w:t>Под реконструкцией Объекта соглашения понимается выполнение мероприятий по улучшению характеристик и эксплуатационных свойств объекта концессионного соглашения.</w:t>
      </w:r>
    </w:p>
    <w:p>
      <w:pPr>
        <w:pStyle w:val="Normal"/>
        <w:ind w:firstLine="709"/>
        <w:jc w:val="both"/>
        <w:rPr>
          <w:rFonts w:eastAsia="Times New Roman"/>
          <w:sz w:val="24"/>
          <w:szCs w:val="24"/>
        </w:rPr>
      </w:pPr>
      <w:r>
        <w:rPr>
          <w:rFonts w:eastAsia="Times New Roman"/>
          <w:sz w:val="24"/>
          <w:szCs w:val="24"/>
        </w:rPr>
        <w:t>Условия концессионного соглашения определены в проекте концессионного соглашения.</w:t>
      </w:r>
    </w:p>
    <w:p>
      <w:pPr>
        <w:pStyle w:val="ListParagraph"/>
        <w:widowControl w:val="false"/>
        <w:numPr>
          <w:ilvl w:val="0"/>
          <w:numId w:val="2"/>
        </w:numPr>
        <w:spacing w:before="0" w:after="0"/>
        <w:ind w:left="0" w:firstLine="709"/>
        <w:contextualSpacing/>
        <w:jc w:val="both"/>
        <w:rPr>
          <w:rFonts w:eastAsia="Calibri" w:eastAsiaTheme="minorHAnsi"/>
          <w:sz w:val="24"/>
          <w:szCs w:val="24"/>
          <w:lang w:eastAsia="en-US"/>
        </w:rPr>
      </w:pPr>
      <w:r>
        <w:rPr>
          <w:rFonts w:eastAsia="Calibri" w:eastAsiaTheme="minorHAnsi"/>
          <w:sz w:val="24"/>
          <w:szCs w:val="24"/>
          <w:lang w:val="ru-RU" w:eastAsia="en-US"/>
        </w:rPr>
        <w:t>Обязательства концессионера.</w:t>
      </w:r>
    </w:p>
    <w:p>
      <w:pPr>
        <w:pStyle w:val="NoSpacing"/>
        <w:ind w:firstLine="709"/>
        <w:jc w:val="both"/>
        <w:rPr>
          <w:sz w:val="24"/>
          <w:szCs w:val="24"/>
        </w:rPr>
      </w:pPr>
      <w:r>
        <w:rPr>
          <w:sz w:val="24"/>
          <w:szCs w:val="24"/>
        </w:rPr>
        <w:t>- концессионер обязуется выполнить в порядке, в сроки и на условиях, определенных концессионным соглашением мероприятия по реконструкции Объекта;</w:t>
      </w:r>
    </w:p>
    <w:p>
      <w:pPr>
        <w:pStyle w:val="NoSpacing"/>
        <w:ind w:firstLine="709"/>
        <w:jc w:val="both"/>
        <w:rPr>
          <w:sz w:val="24"/>
          <w:szCs w:val="24"/>
        </w:rPr>
      </w:pPr>
      <w:r>
        <w:rPr>
          <w:sz w:val="24"/>
          <w:szCs w:val="24"/>
        </w:rPr>
        <w:t xml:space="preserve">- осуществлять холодное водоснабжение в границах муниципального образования </w:t>
      </w:r>
      <w:r>
        <w:rPr>
          <w:bCs/>
          <w:sz w:val="24"/>
          <w:szCs w:val="24"/>
        </w:rPr>
        <w:t xml:space="preserve">«городской округ город Шарыпово Красноярского края» </w:t>
      </w:r>
      <w:r>
        <w:rPr>
          <w:sz w:val="24"/>
          <w:szCs w:val="24"/>
        </w:rPr>
        <w:t>с использованием                                 Объекта концессионного соглашения;</w:t>
      </w:r>
    </w:p>
    <w:p>
      <w:pPr>
        <w:pStyle w:val="NoSpacing"/>
        <w:ind w:firstLine="709"/>
        <w:jc w:val="both"/>
        <w:rPr>
          <w:sz w:val="24"/>
          <w:szCs w:val="24"/>
        </w:rPr>
      </w:pPr>
      <w:r>
        <w:rPr>
          <w:sz w:val="24"/>
          <w:szCs w:val="24"/>
        </w:rPr>
        <w:t>- обеспечивать при осуществлении концессионной деятельности возможность получения потребителями услуг холодного водоснабжения;</w:t>
      </w:r>
    </w:p>
    <w:p>
      <w:pPr>
        <w:pStyle w:val="NoSpacing"/>
        <w:ind w:firstLine="709"/>
        <w:jc w:val="both"/>
        <w:rPr>
          <w:sz w:val="24"/>
          <w:szCs w:val="24"/>
        </w:rPr>
      </w:pPr>
      <w:r>
        <w:rPr>
          <w:sz w:val="24"/>
          <w:szCs w:val="24"/>
        </w:rPr>
        <w:t>- поддерживать Объект соглашения в исправном состоянии, производить текущий ремонт, нести расходы на содержание Объекта соглашения, в пределах средств, утвержденных на указанные цели в тарифе для потребителей Концессионера;</w:t>
      </w:r>
    </w:p>
    <w:p>
      <w:pPr>
        <w:pStyle w:val="NoSpacing"/>
        <w:ind w:firstLine="709"/>
        <w:jc w:val="both"/>
        <w:rPr>
          <w:sz w:val="24"/>
          <w:szCs w:val="24"/>
        </w:rPr>
      </w:pPr>
      <w:r>
        <w:rPr>
          <w:sz w:val="24"/>
          <w:szCs w:val="24"/>
        </w:rPr>
        <w:t>-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pPr>
        <w:pStyle w:val="NoSpacing"/>
        <w:ind w:firstLine="709"/>
        <w:jc w:val="both"/>
        <w:rPr>
          <w:sz w:val="24"/>
          <w:szCs w:val="24"/>
        </w:rPr>
      </w:pPr>
      <w:r>
        <w:rPr>
          <w:sz w:val="24"/>
          <w:szCs w:val="24"/>
        </w:rPr>
        <w:t>- достигнуть плановых значений показателей деятельности Концессионера, указанных в концессионном соглашении.</w:t>
      </w:r>
    </w:p>
    <w:p>
      <w:pPr>
        <w:pStyle w:val="ListParagraph"/>
        <w:widowControl w:val="false"/>
        <w:spacing w:before="0" w:after="0"/>
        <w:ind w:left="0" w:firstLine="709"/>
        <w:contextualSpacing/>
        <w:jc w:val="both"/>
        <w:rPr>
          <w:rFonts w:eastAsia="Calibri" w:eastAsiaTheme="minorHAnsi"/>
          <w:sz w:val="24"/>
          <w:szCs w:val="24"/>
          <w:lang w:val="ru-RU" w:eastAsia="en-US"/>
        </w:rPr>
      </w:pPr>
      <w:r>
        <w:rPr>
          <w:rFonts w:eastAsia="Calibri" w:eastAsiaTheme="minorHAnsi"/>
          <w:sz w:val="24"/>
          <w:szCs w:val="24"/>
          <w:lang w:val="ru-RU" w:eastAsia="en-US"/>
        </w:rPr>
        <w:t>2. Срок действия концессионного соглашения - 13 лет со дня заключения концессионного соглашения.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3. Описание, в том числе технико-экономические показатели объекта концессионного соглашения: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Объект концессионного соглашения - совокупность объектов централизованных систем холодного водоснабжения, расположенных на территории муниципального образования </w:t>
      </w:r>
      <w:r>
        <w:rPr>
          <w:bCs/>
          <w:sz w:val="24"/>
          <w:szCs w:val="24"/>
        </w:rPr>
        <w:t>«городской округ город Шарыпово Красноярского края»</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Объект концессионного соглашения находится в собственности муниципального образования </w:t>
      </w:r>
      <w:r>
        <w:rPr>
          <w:bCs/>
          <w:sz w:val="24"/>
          <w:szCs w:val="24"/>
        </w:rPr>
        <w:t>«городской округ город Шарыпово Красноярского края»</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tbl>
      <w:tblPr>
        <w:tblW w:w="9781" w:type="dxa"/>
        <w:jc w:val="left"/>
        <w:tblInd w:w="-34" w:type="dxa"/>
        <w:tblCellMar>
          <w:top w:w="0" w:type="dxa"/>
          <w:left w:w="108" w:type="dxa"/>
          <w:bottom w:w="0" w:type="dxa"/>
          <w:right w:w="108" w:type="dxa"/>
        </w:tblCellMar>
        <w:tblLook w:val="04a0"/>
      </w:tblPr>
      <w:tblGrid>
        <w:gridCol w:w="532"/>
        <w:gridCol w:w="1935"/>
        <w:gridCol w:w="2493"/>
        <w:gridCol w:w="850"/>
        <w:gridCol w:w="852"/>
        <w:gridCol w:w="669"/>
        <w:gridCol w:w="971"/>
        <w:gridCol w:w="911"/>
        <w:gridCol w:w="567"/>
      </w:tblGrid>
      <w:tr>
        <w:trPr>
          <w:trHeight w:val="2967" w:hRule="atLeast"/>
          <w:cantSplit w:val="true"/>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b/>
                <w:b/>
                <w:color w:val="000000"/>
              </w:rPr>
            </w:pPr>
            <w:r>
              <w:rPr>
                <w:rFonts w:eastAsia="Times New Roman"/>
                <w:b/>
                <w:color w:val="000000"/>
              </w:rPr>
              <w:t xml:space="preserve">№ </w:t>
            </w:r>
            <w:r>
              <w:rPr>
                <w:rFonts w:eastAsia="Times New Roman"/>
                <w:b/>
                <w:color w:val="000000"/>
              </w:rPr>
              <w:t>п/п</w:t>
            </w:r>
          </w:p>
        </w:tc>
        <w:tc>
          <w:tcPr>
            <w:tcW w:w="1935"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Наименование и тип объекта</w:t>
            </w:r>
          </w:p>
        </w:tc>
        <w:tc>
          <w:tcPr>
            <w:tcW w:w="2493"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Адрес объекта</w:t>
            </w:r>
          </w:p>
        </w:tc>
        <w:tc>
          <w:tcPr>
            <w:tcW w:w="850"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Год постройки объекта</w:t>
            </w:r>
          </w:p>
        </w:tc>
        <w:tc>
          <w:tcPr>
            <w:tcW w:w="852"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Год ввода в эксплуатацию</w:t>
            </w:r>
          </w:p>
        </w:tc>
        <w:tc>
          <w:tcPr>
            <w:tcW w:w="669"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Срок эксплуатации объекта</w:t>
            </w:r>
          </w:p>
        </w:tc>
        <w:tc>
          <w:tcPr>
            <w:tcW w:w="971"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Проектные параметры объекта (протяженность сетей),км</w:t>
            </w:r>
          </w:p>
        </w:tc>
        <w:tc>
          <w:tcPr>
            <w:tcW w:w="911"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Проведенные мероприятия по ремонту объекта, км</w:t>
            </w:r>
          </w:p>
        </w:tc>
        <w:tc>
          <w:tcPr>
            <w:tcW w:w="567"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rFonts w:eastAsia="Times New Roman"/>
                <w:b/>
                <w:b/>
                <w:color w:val="000000"/>
              </w:rPr>
            </w:pPr>
            <w:r>
              <w:rPr>
                <w:rFonts w:eastAsia="Times New Roman"/>
                <w:b/>
                <w:color w:val="000000"/>
              </w:rPr>
              <w:t>Физический износ, %</w:t>
            </w:r>
          </w:p>
        </w:tc>
      </w:tr>
      <w:tr>
        <w:trPr>
          <w:trHeight w:val="300" w:hRule="atLeast"/>
        </w:trPr>
        <w:tc>
          <w:tcPr>
            <w:tcW w:w="532" w:type="dxa"/>
            <w:tcBorders>
              <w:left w:val="single" w:sz="4" w:space="0" w:color="000000"/>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1</w:t>
            </w:r>
          </w:p>
        </w:tc>
        <w:tc>
          <w:tcPr>
            <w:tcW w:w="1935"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2</w:t>
            </w:r>
          </w:p>
        </w:tc>
        <w:tc>
          <w:tcPr>
            <w:tcW w:w="2493"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3</w:t>
            </w:r>
          </w:p>
        </w:tc>
        <w:tc>
          <w:tcPr>
            <w:tcW w:w="850"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4</w:t>
            </w:r>
          </w:p>
        </w:tc>
        <w:tc>
          <w:tcPr>
            <w:tcW w:w="852"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5</w:t>
            </w:r>
          </w:p>
        </w:tc>
        <w:tc>
          <w:tcPr>
            <w:tcW w:w="669"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6</w:t>
            </w:r>
          </w:p>
        </w:tc>
        <w:tc>
          <w:tcPr>
            <w:tcW w:w="971"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7</w:t>
            </w:r>
          </w:p>
        </w:tc>
        <w:tc>
          <w:tcPr>
            <w:tcW w:w="911"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8</w:t>
            </w:r>
          </w:p>
        </w:tc>
        <w:tc>
          <w:tcPr>
            <w:tcW w:w="567" w:type="dxa"/>
            <w:tcBorders>
              <w:bottom w:val="single" w:sz="4" w:space="0" w:color="000000"/>
              <w:right w:val="single" w:sz="4" w:space="0" w:color="000000"/>
            </w:tcBorders>
            <w:shd w:color="auto" w:fill="auto" w:val="clear"/>
            <w:vAlign w:val="bottom"/>
          </w:tcPr>
          <w:p>
            <w:pPr>
              <w:pStyle w:val="Normal"/>
              <w:widowControl/>
              <w:jc w:val="center"/>
              <w:rPr>
                <w:rFonts w:eastAsia="Times New Roman"/>
                <w:b/>
                <w:b/>
                <w:color w:val="000000"/>
              </w:rPr>
            </w:pPr>
            <w:r>
              <w:rPr>
                <w:rFonts w:eastAsia="Times New Roman"/>
                <w:b/>
                <w:color w:val="000000"/>
              </w:rPr>
              <w:t>9</w:t>
            </w:r>
          </w:p>
        </w:tc>
      </w:tr>
      <w:tr>
        <w:trPr>
          <w:trHeight w:val="85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сети водоснабжения 1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1, 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1981</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1981</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39</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2,76762</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1,6439</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66</w:t>
            </w:r>
          </w:p>
        </w:tc>
      </w:tr>
      <w:tr>
        <w:trPr>
          <w:trHeight w:val="57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2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2, 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5,19303</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1,1192</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78</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сети водоснабжения 3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3, 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p>
            <w:pPr>
              <w:pStyle w:val="Normal"/>
              <w:widowControl/>
              <w:jc w:val="center"/>
              <w:rPr>
                <w:rFonts w:eastAsia="Times New Roman"/>
                <w:color w:val="000000"/>
              </w:rPr>
            </w:pPr>
            <w:r>
              <w:rPr>
                <w:rFonts w:eastAsia="Times New Roman"/>
                <w:color w:val="000000"/>
              </w:rPr>
              <w:t>-</w:t>
            </w:r>
          </w:p>
          <w:p>
            <w:pPr>
              <w:pStyle w:val="Normal"/>
              <w:widowControl/>
              <w:jc w:val="center"/>
              <w:rPr>
                <w:rFonts w:eastAsia="Times New Roman"/>
                <w:color w:val="000000"/>
              </w:rPr>
            </w:pPr>
            <w:r>
              <w:rPr>
                <w:rFonts w:eastAsia="Times New Roman"/>
                <w:color w:val="000000"/>
              </w:rPr>
              <w:t>1991</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1991</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29</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4,07382</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0,00685</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56</w:t>
            </w:r>
          </w:p>
        </w:tc>
      </w:tr>
      <w:tr>
        <w:trPr>
          <w:trHeight w:val="57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4</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4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4, соор. №7</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1,8306</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0,614</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36</w:t>
            </w:r>
          </w:p>
        </w:tc>
      </w:tr>
      <w:tr>
        <w:trPr>
          <w:trHeight w:val="55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5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5, 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0,171</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0,0737</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97</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6</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6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6, 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p>
            <w:pPr>
              <w:pStyle w:val="Normal"/>
              <w:widowControl/>
              <w:jc w:val="center"/>
              <w:rPr>
                <w:rFonts w:eastAsia="Times New Roman"/>
                <w:color w:val="000000"/>
              </w:rPr>
            </w:pPr>
            <w:r>
              <w:rPr>
                <w:rFonts w:eastAsia="Times New Roman"/>
                <w:color w:val="000000"/>
              </w:rPr>
              <w:t>-</w:t>
            </w:r>
          </w:p>
          <w:p>
            <w:pPr>
              <w:pStyle w:val="Normal"/>
              <w:widowControl/>
              <w:jc w:val="center"/>
              <w:rPr>
                <w:rFonts w:eastAsia="Times New Roman"/>
                <w:color w:val="000000"/>
              </w:rPr>
            </w:pPr>
            <w:r>
              <w:rPr>
                <w:rFonts w:eastAsia="Times New Roman"/>
                <w:color w:val="000000"/>
              </w:rPr>
              <w:t>1991</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5,10041</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1,94866</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63</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7</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7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мкр-н 7, соор. №6</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0,4562</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0,1616</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57</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8</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ул.Солнечная, Строительная, Спортивная, Ворошилова, Заводская, Российская, Горького, Пионерская, пер.Школьный, пл.Революции, </w:t>
            </w:r>
          </w:p>
          <w:p>
            <w:pPr>
              <w:pStyle w:val="Normal"/>
              <w:widowControl/>
              <w:jc w:val="center"/>
              <w:rPr>
                <w:rFonts w:eastAsia="Times New Roman"/>
                <w:color w:val="000000"/>
              </w:rPr>
            </w:pPr>
            <w:r>
              <w:rPr>
                <w:rFonts w:eastAsia="Times New Roman"/>
                <w:color w:val="000000"/>
              </w:rPr>
              <w:t>ул.Кирова, соор.№2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1980-2006</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1987</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33</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10,38478</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2,6754</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81</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сети водоснабжения квартала Энергостроителей уч.№2</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квартал Энергостроителей,</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соор.6, участок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1990</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2002</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18</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3,55049</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0,4377</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84</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микрорайона Берлин</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 xml:space="preserve">мкр-н Берлин, </w:t>
            </w:r>
          </w:p>
          <w:p>
            <w:pPr>
              <w:pStyle w:val="Normal"/>
              <w:widowControl/>
              <w:jc w:val="center"/>
              <w:rPr>
                <w:rFonts w:eastAsia="Times New Roman"/>
                <w:color w:val="000000"/>
              </w:rPr>
            </w:pPr>
            <w:r>
              <w:rPr>
                <w:rFonts w:eastAsia="Times New Roman"/>
                <w:color w:val="000000"/>
              </w:rPr>
              <w:t>сооружение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1,026</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0,2862</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78</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11</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Северного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мкр-н Северный, соор.№2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3,20133</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0,843</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58</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Пионерного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 xml:space="preserve">мкр-н Пионерный, </w:t>
            </w:r>
          </w:p>
          <w:p>
            <w:pPr>
              <w:pStyle w:val="Normal"/>
              <w:widowControl/>
              <w:jc w:val="center"/>
              <w:rPr>
                <w:rFonts w:eastAsia="Times New Roman"/>
                <w:color w:val="000000"/>
              </w:rPr>
            </w:pPr>
            <w:r>
              <w:rPr>
                <w:rFonts w:eastAsia="Times New Roman"/>
                <w:color w:val="000000"/>
              </w:rPr>
              <w:t>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1978</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1978</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42</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5,74501</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1,60235</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68</w:t>
            </w:r>
          </w:p>
        </w:tc>
      </w:tr>
      <w:tr>
        <w:trPr>
          <w:trHeight w:val="58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13</w:t>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сети водоснабжения квартала «Листвяг»</w:t>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квартал Листвяг, соор. 3</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1999</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1999</w:t>
            </w:r>
          </w:p>
        </w:tc>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21</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6,62182</w:t>
            </w:r>
          </w:p>
        </w:tc>
        <w:tc>
          <w:tcPr>
            <w:tcW w:w="9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0,153</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54</w:t>
            </w:r>
          </w:p>
        </w:tc>
      </w:tr>
      <w:tr>
        <w:trPr>
          <w:trHeight w:val="87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14</w:t>
            </w:r>
          </w:p>
        </w:tc>
        <w:tc>
          <w:tcPr>
            <w:tcW w:w="1935"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магистральный водовод от насосной  III подъема до КПЗ</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от насосной  III подъема до КПЗ, соор.№1</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1992</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1992</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28</w:t>
            </w:r>
          </w:p>
        </w:tc>
        <w:tc>
          <w:tcPr>
            <w:tcW w:w="97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3,3906</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1,098</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36</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15</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 – водопровод к спортядру</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просп. Энергетиков, №2,</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соор. №2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1988</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1988</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32</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0,15143</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100</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16</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мкр.3, </w:t>
            </w:r>
          </w:p>
          <w:p>
            <w:pPr>
              <w:pStyle w:val="Normal"/>
              <w:widowControl/>
              <w:jc w:val="center"/>
              <w:rPr>
                <w:rFonts w:eastAsia="Times New Roman"/>
                <w:color w:val="000000"/>
              </w:rPr>
            </w:pPr>
            <w:r>
              <w:rPr>
                <w:rFonts w:eastAsia="Times New Roman"/>
                <w:color w:val="000000"/>
              </w:rPr>
              <w:t>от КП-3 до КП-10, соор.9</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1991</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1991</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29</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0,099</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100</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17</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мкр.4, </w:t>
            </w:r>
          </w:p>
          <w:p>
            <w:pPr>
              <w:pStyle w:val="Normal"/>
              <w:widowControl/>
              <w:jc w:val="center"/>
              <w:rPr>
                <w:rFonts w:eastAsia="Times New Roman"/>
                <w:color w:val="000000"/>
              </w:rPr>
            </w:pPr>
            <w:r>
              <w:rPr>
                <w:rFonts w:eastAsia="Times New Roman"/>
                <w:color w:val="000000"/>
              </w:rPr>
              <w:t>от ВК 7 до ВК24, соор.13</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2005</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2005</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15</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0,218</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26</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18</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мкр.4, </w:t>
            </w:r>
          </w:p>
          <w:p>
            <w:pPr>
              <w:pStyle w:val="Normal"/>
              <w:widowControl/>
              <w:jc w:val="center"/>
              <w:rPr>
                <w:rFonts w:eastAsia="Times New Roman"/>
                <w:color w:val="000000"/>
              </w:rPr>
            </w:pPr>
            <w:r>
              <w:rPr>
                <w:rFonts w:eastAsia="Times New Roman"/>
                <w:color w:val="000000"/>
              </w:rPr>
              <w:t>от ВК24 до д.24, соор.14</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2005</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2005</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15</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0,066</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28</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мкр.4, от ВК7</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до д.22, соор.15</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2008</w:t>
            </w:r>
          </w:p>
          <w:p>
            <w:pPr>
              <w:pStyle w:val="Normal"/>
              <w:widowControl/>
              <w:jc w:val="center"/>
              <w:rPr>
                <w:rFonts w:eastAsia="Times New Roman"/>
                <w:color w:val="000000"/>
              </w:rPr>
            </w:pPr>
            <w:r>
              <w:rPr>
                <w:rFonts w:eastAsia="Times New Roman"/>
                <w:color w:val="000000"/>
              </w:rPr>
              <w:t>-</w:t>
            </w:r>
          </w:p>
          <w:p>
            <w:pPr>
              <w:pStyle w:val="Normal"/>
              <w:widowControl/>
              <w:jc w:val="center"/>
              <w:rPr>
                <w:rFonts w:eastAsia="Times New Roman"/>
                <w:color w:val="000000"/>
              </w:rPr>
            </w:pPr>
            <w:r>
              <w:rPr>
                <w:rFonts w:eastAsia="Times New Roman"/>
                <w:color w:val="000000"/>
              </w:rPr>
              <w:t>2012</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2008</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мкр.7,</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от ВК 5 до д.9, соор.9</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2010</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2010</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0,029</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16</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21</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мкр.7, </w:t>
            </w:r>
          </w:p>
          <w:p>
            <w:pPr>
              <w:pStyle w:val="Normal"/>
              <w:widowControl/>
              <w:jc w:val="center"/>
              <w:rPr>
                <w:rFonts w:eastAsia="Times New Roman"/>
                <w:color w:val="000000"/>
              </w:rPr>
            </w:pPr>
            <w:r>
              <w:rPr>
                <w:rFonts w:eastAsia="Times New Roman"/>
                <w:color w:val="000000"/>
              </w:rPr>
              <w:t>от ВК3 до д.15, соор.12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0,113</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18</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22</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мкр.7, </w:t>
            </w:r>
          </w:p>
          <w:p>
            <w:pPr>
              <w:pStyle w:val="Normal"/>
              <w:widowControl/>
              <w:jc w:val="center"/>
              <w:rPr>
                <w:rFonts w:eastAsia="Times New Roman"/>
                <w:color w:val="000000"/>
              </w:rPr>
            </w:pPr>
            <w:r>
              <w:rPr>
                <w:rFonts w:eastAsia="Times New Roman"/>
                <w:color w:val="000000"/>
              </w:rPr>
              <w:t>от ВК 6 до д.12, соор.11</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2008</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2008</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0,1045</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23</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мкр.7, </w:t>
            </w:r>
          </w:p>
          <w:p>
            <w:pPr>
              <w:pStyle w:val="Normal"/>
              <w:widowControl/>
              <w:jc w:val="center"/>
              <w:rPr>
                <w:rFonts w:eastAsia="Times New Roman"/>
                <w:color w:val="000000"/>
              </w:rPr>
            </w:pPr>
            <w:r>
              <w:rPr>
                <w:rFonts w:eastAsia="Times New Roman"/>
                <w:color w:val="000000"/>
              </w:rPr>
              <w:t>от ВК1 до д.10, соор.10</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2008</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2008</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0,063</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w:t>
            </w:r>
          </w:p>
        </w:tc>
      </w:tr>
      <w:tr>
        <w:trPr>
          <w:trHeight w:val="601"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24</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ул.Спортивная, от ВК-42 до ТК-3, соор.17</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1987</w:t>
            </w:r>
          </w:p>
          <w:p>
            <w:pPr>
              <w:pStyle w:val="Normal"/>
              <w:widowControl/>
              <w:jc w:val="center"/>
              <w:rPr>
                <w:rFonts w:eastAsia="Times New Roman"/>
                <w:color w:val="000000"/>
              </w:rPr>
            </w:pPr>
            <w:r>
              <w:rPr>
                <w:rFonts w:eastAsia="Times New Roman"/>
                <w:color w:val="000000"/>
              </w:rPr>
              <w:t>-</w:t>
            </w:r>
          </w:p>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1987</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33</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0,235</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97</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25</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кв-л Энергостроителей, ул.Широкая, пер.Долевой, от ВК-1 до ВК-6, соор.18</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2010</w:t>
            </w:r>
          </w:p>
          <w:p>
            <w:pPr>
              <w:pStyle w:val="Normal"/>
              <w:widowControl/>
              <w:jc w:val="center"/>
              <w:rPr>
                <w:rFonts w:eastAsia="Times New Roman"/>
                <w:color w:val="000000"/>
              </w:rPr>
            </w:pPr>
            <w:r>
              <w:rPr>
                <w:rFonts w:eastAsia="Times New Roman"/>
                <w:color w:val="000000"/>
              </w:rPr>
              <w:t>-</w:t>
            </w:r>
          </w:p>
          <w:p>
            <w:pPr>
              <w:pStyle w:val="Normal"/>
              <w:widowControl/>
              <w:jc w:val="center"/>
              <w:rPr>
                <w:rFonts w:eastAsia="Times New Roman"/>
                <w:color w:val="000000"/>
              </w:rPr>
            </w:pPr>
            <w:r>
              <w:rPr>
                <w:rFonts w:eastAsia="Times New Roman"/>
                <w:color w:val="000000"/>
              </w:rPr>
              <w:t>2012</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2010</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0,383</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w:t>
            </w:r>
          </w:p>
        </w:tc>
      </w:tr>
      <w:tr>
        <w:trPr>
          <w:trHeight w:val="107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26</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кв-л Энергостроителей, ул.Цветочная, соор.19</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1990</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1990</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30</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0,364</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0,078</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93</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27</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 от ВК-14 до СТО</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мкр-н Берлин, от ВК-14 </w:t>
            </w:r>
          </w:p>
          <w:p>
            <w:pPr>
              <w:pStyle w:val="Normal"/>
              <w:widowControl/>
              <w:jc w:val="center"/>
              <w:rPr>
                <w:rFonts w:eastAsia="Times New Roman"/>
                <w:color w:val="000000"/>
              </w:rPr>
            </w:pPr>
            <w:r>
              <w:rPr>
                <w:rFonts w:eastAsia="Times New Roman"/>
                <w:color w:val="000000"/>
              </w:rPr>
              <w:t>до СТО, соор.4</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1987</w:t>
            </w:r>
          </w:p>
          <w:p>
            <w:pPr>
              <w:pStyle w:val="Normal"/>
              <w:widowControl/>
              <w:jc w:val="center"/>
              <w:rPr>
                <w:rFonts w:eastAsia="Times New Roman"/>
                <w:color w:val="000000"/>
              </w:rPr>
            </w:pPr>
            <w:r>
              <w:rPr>
                <w:rFonts w:eastAsia="Times New Roman"/>
                <w:color w:val="000000"/>
              </w:rPr>
              <w:t>-</w:t>
            </w:r>
          </w:p>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1987</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33</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0,46</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97</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28</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кв-л Листвяг, ул.Западная, </w:t>
            </w:r>
          </w:p>
          <w:p>
            <w:pPr>
              <w:pStyle w:val="Normal"/>
              <w:widowControl/>
              <w:jc w:val="center"/>
              <w:rPr>
                <w:rFonts w:eastAsia="Times New Roman"/>
                <w:color w:val="000000"/>
              </w:rPr>
            </w:pPr>
            <w:r>
              <w:rPr>
                <w:rFonts w:eastAsia="Times New Roman"/>
                <w:color w:val="000000"/>
              </w:rPr>
              <w:t>от ВК-21 до ВК-125, соор.11</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0,24</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63</w:t>
            </w:r>
          </w:p>
        </w:tc>
      </w:tr>
      <w:tr>
        <w:trPr>
          <w:trHeight w:val="61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29</w:t>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ул.Индустриальная, соор.3</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0,7327</w:t>
            </w:r>
          </w:p>
        </w:tc>
        <w:tc>
          <w:tcPr>
            <w:tcW w:w="9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0,3198</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100</w:t>
            </w:r>
          </w:p>
        </w:tc>
      </w:tr>
      <w:tr>
        <w:trPr>
          <w:trHeight w:val="63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30</w:t>
            </w:r>
          </w:p>
        </w:tc>
        <w:tc>
          <w:tcPr>
            <w:tcW w:w="1935"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Сети водоснабжения</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пр-т Байконур, соор.1</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c>
          <w:tcPr>
            <w:tcW w:w="97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0,045</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0,045</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70</w:t>
            </w:r>
          </w:p>
        </w:tc>
      </w:tr>
      <w:tr>
        <w:trPr>
          <w:trHeight w:val="843"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31</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Магистральный водопровод</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мкр. Ашпыл, от ВК-45</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до ВК-46, соор.10</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31</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0,224</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97</w:t>
            </w:r>
          </w:p>
        </w:tc>
      </w:tr>
      <w:tr>
        <w:trPr>
          <w:trHeight w:val="208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32</w:t>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Сооружение</w:t>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от ВК сущ.</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 xml:space="preserve">в районе здания №5 по ул. Стартовая до ПГ сущ. </w:t>
            </w:r>
          </w:p>
          <w:p>
            <w:pPr>
              <w:pStyle w:val="Normal"/>
              <w:widowControl/>
              <w:jc w:val="center"/>
              <w:rPr>
                <w:rFonts w:eastAsia="Times New Roman"/>
                <w:color w:val="000000"/>
              </w:rPr>
            </w:pPr>
            <w:r>
              <w:rPr>
                <w:rFonts w:eastAsia="Times New Roman"/>
                <w:color w:val="000000"/>
              </w:rPr>
              <w:t xml:space="preserve">в районе здания №2 по ул. Зеленая и до ВКсущ. </w:t>
            </w:r>
          </w:p>
          <w:p>
            <w:pPr>
              <w:pStyle w:val="Normal"/>
              <w:widowControl/>
              <w:jc w:val="center"/>
              <w:rPr>
                <w:rFonts w:eastAsia="Times New Roman"/>
                <w:color w:val="000000"/>
              </w:rPr>
            </w:pPr>
            <w:r>
              <w:rPr>
                <w:rFonts w:eastAsia="Times New Roman"/>
                <w:color w:val="000000"/>
              </w:rPr>
              <w:t xml:space="preserve">в районе здания №2 </w:t>
            </w:r>
          </w:p>
          <w:p>
            <w:pPr>
              <w:pStyle w:val="Normal"/>
              <w:widowControl/>
              <w:jc w:val="center"/>
              <w:rPr>
                <w:rFonts w:eastAsia="Times New Roman"/>
                <w:color w:val="000000"/>
              </w:rPr>
            </w:pPr>
            <w:r>
              <w:rPr>
                <w:rFonts w:eastAsia="Times New Roman"/>
                <w:color w:val="000000"/>
              </w:rPr>
              <w:t xml:space="preserve">по ул. Сиреневая, </w:t>
            </w:r>
          </w:p>
          <w:p>
            <w:pPr>
              <w:pStyle w:val="Normal"/>
              <w:widowControl/>
              <w:jc w:val="center"/>
              <w:rPr>
                <w:rFonts w:eastAsia="Times New Roman"/>
                <w:color w:val="000000"/>
              </w:rPr>
            </w:pPr>
            <w:r>
              <w:rPr>
                <w:rFonts w:eastAsia="Times New Roman"/>
                <w:color w:val="000000"/>
              </w:rPr>
              <w:t xml:space="preserve">через ВК-1-ВК-28, </w:t>
            </w:r>
          </w:p>
          <w:p>
            <w:pPr>
              <w:pStyle w:val="Normal"/>
              <w:widowControl/>
              <w:jc w:val="center"/>
              <w:rPr>
                <w:rFonts w:eastAsia="Times New Roman"/>
                <w:color w:val="000000"/>
              </w:rPr>
            </w:pPr>
            <w:r>
              <w:rPr>
                <w:rFonts w:eastAsia="Times New Roman"/>
                <w:color w:val="000000"/>
              </w:rPr>
              <w:t>ПГ-1-ПГ-12</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1990</w:t>
            </w:r>
          </w:p>
        </w:tc>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30</w:t>
            </w:r>
          </w:p>
        </w:tc>
        <w:tc>
          <w:tcPr>
            <w:tcW w:w="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1,738</w:t>
            </w:r>
          </w:p>
        </w:tc>
        <w:tc>
          <w:tcPr>
            <w:tcW w:w="9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84</w:t>
            </w:r>
          </w:p>
        </w:tc>
      </w:tr>
      <w:tr>
        <w:trPr>
          <w:trHeight w:val="171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33</w:t>
            </w:r>
          </w:p>
        </w:tc>
        <w:tc>
          <w:tcPr>
            <w:tcW w:w="1935"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Магистральный водопровод от насосной станции 3 подъема до мкр.Берлин 2-ая очередь от ВК7 сущ. до ВК8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магистральный водопровод от насосной станции 3 подъема </w:t>
            </w:r>
          </w:p>
          <w:p>
            <w:pPr>
              <w:pStyle w:val="Normal"/>
              <w:widowControl/>
              <w:jc w:val="center"/>
              <w:rPr>
                <w:rFonts w:eastAsia="Times New Roman"/>
                <w:color w:val="000000"/>
              </w:rPr>
            </w:pPr>
            <w:r>
              <w:rPr>
                <w:rFonts w:eastAsia="Times New Roman"/>
                <w:color w:val="000000"/>
              </w:rPr>
              <w:t>до мкр.Берлин 2-ая очередь от ВК7 сущ.</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до ВК8, соор.2</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2011</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2011</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w:t>
            </w:r>
          </w:p>
        </w:tc>
        <w:tc>
          <w:tcPr>
            <w:tcW w:w="97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0,144</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27</w:t>
            </w:r>
          </w:p>
        </w:tc>
      </w:tr>
      <w:tr>
        <w:trPr>
          <w:trHeight w:val="15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34</w:t>
            </w:r>
          </w:p>
        </w:tc>
        <w:tc>
          <w:tcPr>
            <w:tcW w:w="1935"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Магистральный водопровод от насосной станции III подъема до микрорайона «Берлин»</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(1 очередь строительства)</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 xml:space="preserve">Красноярский край, г.Шарыпово, 1-ая очередь магистрального водопровода от насосной станции 3 подъема до мкр. «Берлин» </w:t>
            </w:r>
          </w:p>
          <w:p>
            <w:pPr>
              <w:pStyle w:val="Normal"/>
              <w:widowControl/>
              <w:jc w:val="center"/>
              <w:rPr>
                <w:rFonts w:eastAsia="Times New Roman"/>
                <w:color w:val="000000"/>
              </w:rPr>
            </w:pPr>
            <w:r>
              <w:rPr>
                <w:rFonts w:eastAsia="Times New Roman"/>
                <w:color w:val="000000"/>
              </w:rPr>
              <w:t>от ВК-3 сущ. до ВК-7, сооружение №1</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2005</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2005</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15</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1,226</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r>
      <w:tr>
        <w:trPr>
          <w:trHeight w:val="99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35</w:t>
            </w:r>
          </w:p>
        </w:tc>
        <w:tc>
          <w:tcPr>
            <w:tcW w:w="1935" w:type="dxa"/>
            <w:tcBorders>
              <w:bottom w:val="single" w:sz="4" w:space="0" w:color="000000"/>
              <w:right w:val="single" w:sz="4" w:space="0" w:color="000000"/>
            </w:tcBorders>
            <w:shd w:color="auto" w:fill="auto" w:val="clear"/>
          </w:tcPr>
          <w:p>
            <w:pPr>
              <w:pStyle w:val="Normal"/>
              <w:jc w:val="center"/>
              <w:rPr>
                <w:rFonts w:eastAsia="Times New Roman"/>
                <w:color w:val="000000"/>
              </w:rPr>
            </w:pPr>
            <w:r>
              <w:rPr>
                <w:rFonts w:eastAsia="Times New Roman"/>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Российская Федерация, Красноярский край, г.Шарыпово,  мкр.Монреаль</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2015</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2015</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5</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0,429</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4</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36</w:t>
            </w:r>
          </w:p>
        </w:tc>
        <w:tc>
          <w:tcPr>
            <w:tcW w:w="1935" w:type="dxa"/>
            <w:tcBorders>
              <w:bottom w:val="single" w:sz="4" w:space="0" w:color="000000"/>
              <w:right w:val="single" w:sz="4" w:space="0" w:color="000000"/>
            </w:tcBorders>
            <w:shd w:color="auto" w:fill="auto" w:val="clear"/>
          </w:tcPr>
          <w:p>
            <w:pPr>
              <w:pStyle w:val="Normal"/>
              <w:jc w:val="center"/>
              <w:rPr>
                <w:rFonts w:eastAsia="Times New Roman"/>
                <w:color w:val="000000"/>
              </w:rPr>
            </w:pPr>
            <w:r>
              <w:rPr>
                <w:rFonts w:eastAsia="Times New Roman"/>
                <w:color w:val="000000"/>
              </w:rPr>
              <w:t>Сооружение</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пр-кт Энергетиков, д.7, соор.2</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2011</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2011</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9</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0,138</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27</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37</w:t>
            </w:r>
          </w:p>
        </w:tc>
        <w:tc>
          <w:tcPr>
            <w:tcW w:w="1935" w:type="dxa"/>
            <w:tcBorders>
              <w:bottom w:val="single" w:sz="4" w:space="0" w:color="000000"/>
              <w:right w:val="single" w:sz="4" w:space="0" w:color="000000"/>
            </w:tcBorders>
            <w:shd w:color="auto" w:fill="auto" w:val="clear"/>
          </w:tcPr>
          <w:p>
            <w:pPr>
              <w:pStyle w:val="Normal"/>
              <w:jc w:val="center"/>
              <w:rPr>
                <w:rFonts w:eastAsia="Times New Roman"/>
                <w:color w:val="000000"/>
              </w:rPr>
            </w:pPr>
            <w:r>
              <w:rPr>
                <w:rFonts w:eastAsia="Times New Roman"/>
                <w:color w:val="000000"/>
              </w:rPr>
              <w:t xml:space="preserve">Магистральный водопровод от Южного кольца </w:t>
            </w:r>
          </w:p>
          <w:p>
            <w:pPr>
              <w:pStyle w:val="Normal"/>
              <w:jc w:val="center"/>
              <w:rPr>
                <w:rFonts w:eastAsia="Times New Roman"/>
                <w:color w:val="000000"/>
              </w:rPr>
            </w:pPr>
            <w:r>
              <w:rPr>
                <w:rFonts w:eastAsia="Times New Roman"/>
                <w:color w:val="000000"/>
              </w:rPr>
              <w:t>до мкр.Берлин</w:t>
            </w:r>
          </w:p>
        </w:tc>
        <w:tc>
          <w:tcPr>
            <w:tcW w:w="2493"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Красноярский край. г.Шарыпово, проспект Центральный, соор.4</w:t>
            </w:r>
          </w:p>
        </w:tc>
        <w:tc>
          <w:tcPr>
            <w:tcW w:w="850"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2012</w:t>
            </w:r>
          </w:p>
        </w:tc>
        <w:tc>
          <w:tcPr>
            <w:tcW w:w="852"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2012</w:t>
            </w:r>
          </w:p>
        </w:tc>
        <w:tc>
          <w:tcPr>
            <w:tcW w:w="669"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8</w:t>
            </w:r>
          </w:p>
        </w:tc>
        <w:tc>
          <w:tcPr>
            <w:tcW w:w="97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1,912</w:t>
            </w:r>
          </w:p>
        </w:tc>
        <w:tc>
          <w:tcPr>
            <w:tcW w:w="911"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rPr>
            </w:pPr>
            <w:r>
              <w:rPr>
                <w:rFonts w:eastAsia="Times New Roman"/>
                <w:color w:val="000000"/>
              </w:rPr>
              <w:t>14</w:t>
            </w:r>
          </w:p>
        </w:tc>
      </w:tr>
      <w:tr>
        <w:trPr>
          <w:trHeight w:val="300" w:hRule="atLeast"/>
        </w:trPr>
        <w:tc>
          <w:tcPr>
            <w:tcW w:w="532"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eastAsia="Times New Roman"/>
                <w:color w:val="000000"/>
              </w:rPr>
            </w:pPr>
            <w:r>
              <w:rPr>
                <w:rFonts w:eastAsia="Times New Roman"/>
                <w:color w:val="000000"/>
              </w:rPr>
              <w:t> </w:t>
            </w:r>
          </w:p>
        </w:tc>
        <w:tc>
          <w:tcPr>
            <w:tcW w:w="1935"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2493"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850"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852"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669"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971"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t>62,72734</w:t>
            </w:r>
          </w:p>
        </w:tc>
        <w:tc>
          <w:tcPr>
            <w:tcW w:w="911"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567" w:type="dxa"/>
            <w:tcBorders>
              <w:bottom w:val="single" w:sz="4" w:space="0" w:color="000000"/>
              <w:right w:val="single" w:sz="4" w:space="0" w:color="000000"/>
            </w:tcBorders>
            <w:shd w:color="auto" w:fill="auto" w:val="clear"/>
            <w:vAlign w:val="bottom"/>
          </w:tcPr>
          <w:p>
            <w:pPr>
              <w:pStyle w:val="Normal"/>
              <w:widowControl/>
              <w:jc w:val="center"/>
              <w:rPr>
                <w:rFonts w:eastAsia="Times New Roman"/>
                <w:color w:val="000000"/>
              </w:rPr>
            </w:pPr>
            <w:r>
              <w:rPr>
                <w:rFonts w:eastAsia="Times New Roman"/>
                <w:color w:val="000000"/>
              </w:rPr>
            </w:r>
          </w:p>
        </w:tc>
      </w:tr>
    </w:tbl>
    <w:p>
      <w:pPr>
        <w:pStyle w:val="Normal"/>
        <w:ind w:firstLine="708"/>
        <w:rPr>
          <w:rFonts w:eastAsia="Calibri" w:eastAsiaTheme="minorHAnsi"/>
          <w:lang w:eastAsia="en-US"/>
        </w:rPr>
      </w:pPr>
      <w:r>
        <w:rPr>
          <w:rFonts w:eastAsia="Calibri" w:eastAsiaTheme="minorHAnsi"/>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Передача Концедентом Концессионеру объектов иного имущества                                               по концессионному соглашению не предусмотрена.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У Концедента отсутствует недвижимое имущество, не прошедшее в установленном законодательством порядке государственный кадастровый учет и (или) государственную регистрацию прав.</w:t>
      </w:r>
    </w:p>
    <w:p>
      <w:pPr>
        <w:pStyle w:val="NoSpacing"/>
        <w:ind w:firstLine="708"/>
        <w:jc w:val="both"/>
        <w:rPr>
          <w:sz w:val="24"/>
          <w:szCs w:val="24"/>
        </w:rPr>
      </w:pPr>
      <w:r>
        <w:rPr>
          <w:rFonts w:eastAsia="Calibri" w:eastAsiaTheme="minorHAnsi"/>
          <w:sz w:val="24"/>
          <w:szCs w:val="24"/>
          <w:lang w:eastAsia="en-US"/>
        </w:rPr>
        <w:t xml:space="preserve">4. Срок передачи </w:t>
      </w:r>
      <w:r>
        <w:rPr>
          <w:sz w:val="24"/>
          <w:szCs w:val="24"/>
        </w:rPr>
        <w:t>Концедентом Концессионеру Объекта соглашения                                                   в течение 30 (тридцати) дней с момента заключения концессионного Соглашения.</w:t>
      </w:r>
    </w:p>
    <w:p>
      <w:pPr>
        <w:pStyle w:val="NoSpacing"/>
        <w:ind w:firstLine="708"/>
        <w:jc w:val="both"/>
        <w:rPr>
          <w:sz w:val="24"/>
          <w:szCs w:val="24"/>
        </w:rPr>
      </w:pPr>
      <w:r>
        <w:rPr>
          <w:sz w:val="24"/>
          <w:szCs w:val="24"/>
        </w:rPr>
        <w:t>5. Порядок предоставления Концессионеру земельных участок.</w:t>
      </w:r>
    </w:p>
    <w:p>
      <w:pPr>
        <w:pStyle w:val="NoSpacing"/>
        <w:ind w:firstLine="709"/>
        <w:jc w:val="both"/>
        <w:rPr>
          <w:sz w:val="24"/>
          <w:szCs w:val="24"/>
        </w:rPr>
      </w:pPr>
      <w:r>
        <w:rPr>
          <w:sz w:val="24"/>
          <w:szCs w:val="24"/>
        </w:rPr>
        <w:t>В соответствии с Постановлением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Постановлением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предоставление земельных участков для осуществления Концессионером деятельности, предусмотренной настоящим Соглашением, включая работы по реконструкции, не требуется.</w:t>
      </w:r>
    </w:p>
    <w:p>
      <w:pPr>
        <w:pStyle w:val="NoSpacing"/>
        <w:ind w:firstLine="709"/>
        <w:jc w:val="both"/>
        <w:rPr>
          <w:sz w:val="24"/>
          <w:szCs w:val="24"/>
        </w:rPr>
      </w:pPr>
      <w:r>
        <w:rPr>
          <w:sz w:val="24"/>
          <w:szCs w:val="24"/>
        </w:rPr>
        <w:t>В случае, если в ходе деятельности, предусмотренной настоящим Соглашением, будет установлено, что Концеденту необходимо предоставить Концессионеру земельные участки, то предоставление в аренду указанных земельных участков осуществляется                      в соответствии с ч. 2 ст. 39.6 Земельного кодекса РФ.</w:t>
      </w:r>
    </w:p>
    <w:p>
      <w:pPr>
        <w:pStyle w:val="NoSpacing"/>
        <w:ind w:firstLine="709"/>
        <w:jc w:val="both"/>
        <w:rPr>
          <w:sz w:val="24"/>
          <w:szCs w:val="24"/>
        </w:rPr>
      </w:pPr>
      <w:r>
        <w:rPr>
          <w:sz w:val="24"/>
          <w:szCs w:val="24"/>
        </w:rPr>
        <w:t>Концедент обязуется предоставить земельные участки Концессионеру в аренду (субаренду) не позднее 60 (шестидесяти) календарных дней с даты получения Концедентом соответствующего письменного обращения Концессионера.</w:t>
      </w:r>
    </w:p>
    <w:p>
      <w:pPr>
        <w:pStyle w:val="NoSpacing"/>
        <w:ind w:firstLine="709"/>
        <w:jc w:val="both"/>
        <w:rPr>
          <w:sz w:val="24"/>
          <w:szCs w:val="24"/>
        </w:rPr>
      </w:pPr>
      <w:r>
        <w:rPr>
          <w:sz w:val="24"/>
          <w:szCs w:val="24"/>
        </w:rPr>
        <w:t xml:space="preserve">Если на момент получения обращения Концессионера земельные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 </w:t>
      </w:r>
    </w:p>
    <w:p>
      <w:pPr>
        <w:pStyle w:val="NoSpacing"/>
        <w:ind w:firstLine="709"/>
        <w:jc w:val="both"/>
        <w:rPr>
          <w:sz w:val="24"/>
          <w:szCs w:val="24"/>
        </w:rPr>
      </w:pPr>
      <w:r>
        <w:rPr>
          <w:sz w:val="24"/>
          <w:szCs w:val="24"/>
        </w:rPr>
        <w:t xml:space="preserve">Если на момент получения обращения Концессионера земельные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 </w:t>
      </w:r>
    </w:p>
    <w:p>
      <w:pPr>
        <w:pStyle w:val="NoSpacing"/>
        <w:ind w:firstLine="709"/>
        <w:jc w:val="both"/>
        <w:rPr>
          <w:sz w:val="24"/>
          <w:szCs w:val="24"/>
        </w:rPr>
      </w:pPr>
      <w:r>
        <w:rPr>
          <w:sz w:val="24"/>
          <w:szCs w:val="24"/>
        </w:rPr>
        <w:t xml:space="preserve">Если по причинам, не зависящим от Концессионера, Концедент не имеет возможности предоставить земельные участки Концессионеру в срок, указанный                                  в абз. 5 настоящего раздела, что влечет невозможность для Концессионера осуществлять мероприятия по реконструкции Объекта соглашения в соответствии с основными мероприятиями и (или) осуществлять концессионную деятельность, Концедент обязуется по предложению Концессионера внести изменения в условия настоящего Соглашения, включая, при необходимости, изменения в задание и основные мероприятия. </w:t>
      </w:r>
    </w:p>
    <w:p>
      <w:pPr>
        <w:pStyle w:val="NoSpacing"/>
        <w:ind w:firstLine="709"/>
        <w:jc w:val="both"/>
        <w:rPr>
          <w:sz w:val="24"/>
          <w:szCs w:val="24"/>
        </w:rPr>
      </w:pPr>
      <w:r>
        <w:rPr>
          <w:sz w:val="24"/>
          <w:szCs w:val="24"/>
        </w:rPr>
        <w:t xml:space="preserve">Концессионер уплачивает арендную плату, рассчитанную в соответствии                               с Решением Шарыповского городского совета депутатов от 22.06.2010 № 4-24                                 «Об утверждении коэффициентов К1, К2 и К3 по арендной плате за земельные участки, расположенные на территории муниципального образования город Шарыпово, применяемых при определении размера арендной платы за использование земельных участков, государственная собственность на которые не разграничена». </w:t>
      </w:r>
    </w:p>
    <w:p>
      <w:pPr>
        <w:pStyle w:val="NoSpacing"/>
        <w:ind w:firstLine="709"/>
        <w:jc w:val="both"/>
        <w:rPr>
          <w:sz w:val="24"/>
          <w:szCs w:val="24"/>
        </w:rPr>
      </w:pPr>
      <w:r>
        <w:rPr>
          <w:sz w:val="24"/>
          <w:szCs w:val="24"/>
        </w:rPr>
        <w:t>Расчет годовой суммы арендной платы производится по формуле:</w:t>
      </w:r>
    </w:p>
    <w:p>
      <w:pPr>
        <w:pStyle w:val="NoSpacing"/>
        <w:ind w:firstLine="709"/>
        <w:jc w:val="both"/>
        <w:rPr>
          <w:sz w:val="24"/>
          <w:szCs w:val="24"/>
        </w:rPr>
      </w:pPr>
      <w:r>
        <w:rPr>
          <w:sz w:val="24"/>
          <w:szCs w:val="24"/>
        </w:rPr>
        <w:t>А=Кс х К1 х К2 х К3, где:</w:t>
      </w:r>
    </w:p>
    <w:p>
      <w:pPr>
        <w:pStyle w:val="NoSpacing"/>
        <w:ind w:firstLine="709"/>
        <w:jc w:val="both"/>
        <w:rPr>
          <w:sz w:val="24"/>
          <w:szCs w:val="24"/>
        </w:rPr>
      </w:pPr>
      <w:r>
        <w:rPr>
          <w:sz w:val="24"/>
          <w:szCs w:val="24"/>
        </w:rPr>
        <w:t>А-арендная плата за земельный участок в год (рублей);</w:t>
      </w:r>
    </w:p>
    <w:p>
      <w:pPr>
        <w:pStyle w:val="NoSpacing"/>
        <w:ind w:firstLine="709"/>
        <w:jc w:val="both"/>
        <w:rPr>
          <w:sz w:val="24"/>
          <w:szCs w:val="24"/>
        </w:rPr>
      </w:pPr>
      <w:r>
        <w:rPr>
          <w:sz w:val="24"/>
          <w:szCs w:val="24"/>
        </w:rPr>
        <w:t>Кс- кадастровая стоимость земельного участка (рублей);</w:t>
      </w:r>
    </w:p>
    <w:p>
      <w:pPr>
        <w:pStyle w:val="NoSpacing"/>
        <w:ind w:firstLine="709"/>
        <w:jc w:val="both"/>
        <w:rPr>
          <w:sz w:val="24"/>
          <w:szCs w:val="24"/>
        </w:rPr>
      </w:pPr>
      <w:r>
        <w:rPr>
          <w:sz w:val="24"/>
          <w:szCs w:val="24"/>
        </w:rPr>
        <w:t>К1-коэффициент, учитывающий вид разрешенного использования                                           земельного  участка;</w:t>
      </w:r>
    </w:p>
    <w:p>
      <w:pPr>
        <w:pStyle w:val="NoSpacing"/>
        <w:ind w:firstLine="709"/>
        <w:jc w:val="both"/>
        <w:rPr>
          <w:sz w:val="24"/>
          <w:szCs w:val="24"/>
        </w:rPr>
      </w:pPr>
      <w:r>
        <w:rPr>
          <w:sz w:val="24"/>
          <w:szCs w:val="24"/>
        </w:rPr>
        <w:t>К2-коэффициент, учитывающий категорию Арендатора;</w:t>
      </w:r>
    </w:p>
    <w:p>
      <w:pPr>
        <w:pStyle w:val="NoSpacing"/>
        <w:ind w:firstLine="709"/>
        <w:jc w:val="both"/>
        <w:rPr>
          <w:sz w:val="24"/>
          <w:szCs w:val="24"/>
        </w:rPr>
      </w:pPr>
      <w:r>
        <w:rPr>
          <w:sz w:val="24"/>
          <w:szCs w:val="24"/>
        </w:rPr>
        <w:t xml:space="preserve">К3-коэффициент, учитывающий срок, по истечении которого арендатором земельного участка, предоставленного для строительства не введен в эксплуатацию объект, для строительства которого был предоставлен в аренду такой земельный участок. </w:t>
      </w:r>
    </w:p>
    <w:p>
      <w:pPr>
        <w:pStyle w:val="NoSpacing"/>
        <w:ind w:firstLine="709"/>
        <w:jc w:val="both"/>
        <w:rPr>
          <w:sz w:val="24"/>
          <w:szCs w:val="24"/>
        </w:rPr>
      </w:pPr>
      <w:r>
        <w:rPr>
          <w:sz w:val="24"/>
          <w:szCs w:val="24"/>
        </w:rPr>
        <w:t>Концессионер не вправе возводить на земельных участках, полученных                                 от Концедента, объекты недвижимого имущества, не входящие в состав Объекта соглашения, предназначенных для использования при осуществлении Концессионной деятельности, предусмотренной настоящим Соглашением.</w:t>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t>6. Цели и срок использования (эксплуатации) объекта концессионного соглашения.</w:t>
      </w:r>
    </w:p>
    <w:p>
      <w:pPr>
        <w:pStyle w:val="NoSpacing"/>
        <w:ind w:firstLine="709"/>
        <w:jc w:val="both"/>
        <w:rPr>
          <w:sz w:val="24"/>
          <w:szCs w:val="24"/>
        </w:rPr>
      </w:pPr>
      <w:r>
        <w:rPr>
          <w:sz w:val="24"/>
          <w:szCs w:val="24"/>
        </w:rPr>
        <w:t xml:space="preserve">Цель использования (эксплуатации) объекта концессионного соглашения - холодное водоснабжение в границах муниципального образования </w:t>
      </w:r>
      <w:r>
        <w:rPr>
          <w:bCs/>
          <w:sz w:val="24"/>
          <w:szCs w:val="24"/>
        </w:rPr>
        <w:t>«городской округ                          город Шарыпово Красноярского края»</w:t>
      </w:r>
      <w:r>
        <w:rPr>
          <w:sz w:val="24"/>
          <w:szCs w:val="24"/>
        </w:rPr>
        <w:t>.</w:t>
      </w:r>
    </w:p>
    <w:p>
      <w:pPr>
        <w:pStyle w:val="NoSpacing"/>
        <w:ind w:firstLine="709"/>
        <w:jc w:val="both"/>
        <w:rPr>
          <w:sz w:val="24"/>
          <w:szCs w:val="24"/>
        </w:rPr>
      </w:pPr>
      <w:r>
        <w:rPr>
          <w:sz w:val="24"/>
          <w:szCs w:val="24"/>
        </w:rPr>
        <w:t>Срок использования (эксплуатации) объекта концессионного соглашения -                             срок использования (эксплуатации) Концессионером Объекта соглашения с момента передачи Объекта соглашения Концедентом Концессионеру по акту приема-передачи                          до окончания срока действия настоящего Соглашения.</w:t>
      </w:r>
    </w:p>
    <w:p>
      <w:pPr>
        <w:pStyle w:val="NoSpacing"/>
        <w:ind w:firstLine="709"/>
        <w:jc w:val="both"/>
        <w:rPr>
          <w:sz w:val="24"/>
          <w:szCs w:val="24"/>
        </w:rPr>
      </w:pPr>
      <w:r>
        <w:rPr>
          <w:sz w:val="24"/>
          <w:szCs w:val="24"/>
        </w:rPr>
        <w:t>7. Способ обеспечения исполнения концессионером обязательств                                          по концессионному соглашению.</w:t>
      </w:r>
    </w:p>
    <w:p>
      <w:pPr>
        <w:pStyle w:val="NoSpacing"/>
        <w:ind w:firstLine="709"/>
        <w:jc w:val="both"/>
        <w:rPr>
          <w:sz w:val="24"/>
          <w:szCs w:val="24"/>
        </w:rPr>
      </w:pPr>
      <w:r>
        <w:rPr>
          <w:sz w:val="24"/>
          <w:szCs w:val="24"/>
        </w:rPr>
        <w:t xml:space="preserve">Концессионер предоставляет обеспечение исполнения обязательств                                    по концессионному Соглашению в виде безотзывной банковской гарантии. </w:t>
      </w:r>
    </w:p>
    <w:p>
      <w:pPr>
        <w:pStyle w:val="NoSpacing"/>
        <w:ind w:firstLine="709"/>
        <w:jc w:val="both"/>
        <w:rPr>
          <w:sz w:val="24"/>
          <w:szCs w:val="24"/>
        </w:rPr>
      </w:pPr>
      <w:r>
        <w:rPr>
          <w:sz w:val="24"/>
          <w:szCs w:val="24"/>
        </w:rPr>
        <w:t>Банковская гарантия должна быть непередаваемая и соответствовать требованиям, установленным Постановлением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bookmarkStart w:id="0" w:name="_Hlk90888993"/>
      <w:bookmarkEnd w:id="0"/>
    </w:p>
    <w:p>
      <w:pPr>
        <w:pStyle w:val="Normal"/>
        <w:shd w:val="clear" w:color="auto" w:fill="FFFFFF"/>
        <w:ind w:firstLine="709"/>
        <w:jc w:val="both"/>
        <w:rPr>
          <w:rFonts w:eastAsia="Times New Roman"/>
          <w:sz w:val="24"/>
          <w:szCs w:val="24"/>
        </w:rPr>
      </w:pPr>
      <w:r>
        <w:rPr>
          <w:sz w:val="24"/>
          <w:szCs w:val="24"/>
        </w:rPr>
        <w:t xml:space="preserve">Размер банковской гарантии – </w:t>
      </w:r>
      <w:r>
        <w:rPr>
          <w:rFonts w:eastAsia="Times New Roman"/>
          <w:sz w:val="24"/>
          <w:szCs w:val="24"/>
        </w:rPr>
        <w:t>5 % от предельного размера расходов на  реконструкцию объекта соглашения</w:t>
      </w:r>
      <w:r>
        <w:rPr>
          <w:sz w:val="24"/>
          <w:szCs w:val="24"/>
        </w:rPr>
        <w:t>,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w:t>
      </w:r>
      <w:r>
        <w:rPr>
          <w:rFonts w:eastAsia="Times New Roman"/>
          <w:sz w:val="24"/>
          <w:szCs w:val="24"/>
        </w:rPr>
        <w:t xml:space="preserve">. </w:t>
      </w:r>
    </w:p>
    <w:p>
      <w:pPr>
        <w:pStyle w:val="Normal"/>
        <w:shd w:val="clear" w:color="auto" w:fill="FFFFFF"/>
        <w:ind w:firstLine="709"/>
        <w:jc w:val="both"/>
        <w:rPr>
          <w:rFonts w:eastAsia="Times New Roman"/>
          <w:sz w:val="24"/>
          <w:szCs w:val="24"/>
        </w:rPr>
      </w:pPr>
      <w:r>
        <w:rPr>
          <w:sz w:val="24"/>
          <w:szCs w:val="24"/>
        </w:rPr>
        <w:t>Банковская гарантия, по усмотрению концессионера может быть представлена на весь срок действия концессионного соглашения, либо концессионер может представить несколько банковских гарантий на часть срока действия концессионного соглашения, при этом суммарно период действия таких банковских гарантий будет равен сроку действия концессионного соглашения</w:t>
      </w:r>
      <w:r>
        <w:rPr>
          <w:rFonts w:eastAsia="Times New Roman"/>
          <w:sz w:val="24"/>
          <w:szCs w:val="24"/>
        </w:rPr>
        <w:t>. При этом новая банковская гарантия должна быть предоставлена не позднее истечения срока действия предыдущей банковской гарантии.</w:t>
      </w:r>
    </w:p>
    <w:p>
      <w:pPr>
        <w:pStyle w:val="NoSpacing"/>
        <w:ind w:firstLine="709"/>
        <w:jc w:val="both"/>
        <w:rPr>
          <w:sz w:val="24"/>
          <w:szCs w:val="24"/>
        </w:rPr>
      </w:pPr>
      <w:r>
        <w:rPr>
          <w:sz w:val="24"/>
          <w:szCs w:val="24"/>
        </w:rPr>
        <w:t>8. Концессионная плата.</w:t>
      </w:r>
    </w:p>
    <w:p>
      <w:pPr>
        <w:pStyle w:val="NoSpacing"/>
        <w:ind w:firstLine="709"/>
        <w:jc w:val="both"/>
        <w:rPr>
          <w:sz w:val="24"/>
          <w:szCs w:val="24"/>
        </w:rPr>
      </w:pPr>
      <w:r>
        <w:rPr>
          <w:sz w:val="24"/>
          <w:szCs w:val="24"/>
        </w:rPr>
        <w:t>Концессионная плата по концессионному соглашению не предусмотрена.</w:t>
      </w:r>
    </w:p>
    <w:p>
      <w:pPr>
        <w:pStyle w:val="NoSpacing"/>
        <w:ind w:firstLine="709"/>
        <w:jc w:val="both"/>
        <w:rPr>
          <w:sz w:val="24"/>
          <w:szCs w:val="24"/>
        </w:rPr>
      </w:pPr>
      <w:r>
        <w:rPr>
          <w:sz w:val="24"/>
          <w:szCs w:val="24"/>
        </w:rPr>
        <w:t>9. Порядок возмещения расходов сторон в случае досрочного расторжения концессионного соглашения.</w:t>
      </w:r>
    </w:p>
    <w:p>
      <w:pPr>
        <w:pStyle w:val="NoSpacing"/>
        <w:ind w:firstLine="709"/>
        <w:jc w:val="both"/>
        <w:rPr>
          <w:sz w:val="24"/>
          <w:szCs w:val="24"/>
        </w:rPr>
      </w:pPr>
      <w:r>
        <w:rPr>
          <w:sz w:val="24"/>
          <w:szCs w:val="24"/>
        </w:rPr>
        <w:t>В случае досрочного расторжения настоящего Соглашения Концессионер вправе потребовать от Концедента возмещения расходов на реконструкцию Объекта соглашения.</w:t>
      </w:r>
    </w:p>
    <w:p>
      <w:pPr>
        <w:pStyle w:val="NoSpacing"/>
        <w:ind w:firstLine="709"/>
        <w:jc w:val="both"/>
        <w:rPr>
          <w:sz w:val="24"/>
          <w:szCs w:val="24"/>
        </w:rPr>
      </w:pPr>
      <w:r>
        <w:rPr>
          <w:sz w:val="24"/>
          <w:szCs w:val="24"/>
        </w:rPr>
        <w:t>Возмещение указанных расходов осуществляется Концедентом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настоящего Соглашения в следующем порядке:</w:t>
      </w:r>
    </w:p>
    <w:p>
      <w:pPr>
        <w:pStyle w:val="NoSpacing"/>
        <w:ind w:firstLine="709"/>
        <w:jc w:val="both"/>
        <w:rPr>
          <w:sz w:val="24"/>
          <w:szCs w:val="24"/>
        </w:rPr>
      </w:pPr>
      <w:r>
        <w:rPr>
          <w:sz w:val="24"/>
          <w:szCs w:val="24"/>
        </w:rPr>
        <w:t>Концессионер в течение 30 (тридцати)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расходов Концессионеру.</w:t>
      </w:r>
    </w:p>
    <w:p>
      <w:pPr>
        <w:pStyle w:val="NoSpacing"/>
        <w:ind w:firstLine="709"/>
        <w:jc w:val="both"/>
        <w:rPr>
          <w:sz w:val="24"/>
          <w:szCs w:val="24"/>
        </w:rPr>
      </w:pPr>
      <w:r>
        <w:rPr>
          <w:sz w:val="24"/>
          <w:szCs w:val="24"/>
        </w:rPr>
        <w:t>Концедент в течение 30 (тридцати) дней с момента получения требования, направляет Концессионеру уведомление с указанием на одно из следующих решений:</w:t>
      </w:r>
    </w:p>
    <w:p>
      <w:pPr>
        <w:pStyle w:val="NoSpacing"/>
        <w:ind w:firstLine="709"/>
        <w:jc w:val="both"/>
        <w:rPr>
          <w:sz w:val="24"/>
          <w:szCs w:val="24"/>
        </w:rPr>
      </w:pPr>
      <w:r>
        <w:rPr>
          <w:sz w:val="24"/>
          <w:szCs w:val="24"/>
        </w:rPr>
        <w:t>- о полной компенсации расходов Концессионера;</w:t>
      </w:r>
    </w:p>
    <w:p>
      <w:pPr>
        <w:pStyle w:val="NoSpacing"/>
        <w:ind w:firstLine="709"/>
        <w:jc w:val="both"/>
        <w:rPr>
          <w:sz w:val="24"/>
          <w:szCs w:val="24"/>
        </w:rPr>
      </w:pPr>
      <w:r>
        <w:rPr>
          <w:sz w:val="24"/>
          <w:szCs w:val="24"/>
        </w:rPr>
        <w:t>- о частичной компенсации расходов Концессионера;</w:t>
      </w:r>
    </w:p>
    <w:p>
      <w:pPr>
        <w:pStyle w:val="NoSpacing"/>
        <w:ind w:firstLine="709"/>
        <w:jc w:val="both"/>
        <w:rPr>
          <w:sz w:val="24"/>
          <w:szCs w:val="24"/>
        </w:rPr>
      </w:pPr>
      <w:r>
        <w:rPr>
          <w:sz w:val="24"/>
          <w:szCs w:val="24"/>
        </w:rPr>
        <w:t>- об отказе в компенсации расходов Концессионера.</w:t>
      </w:r>
    </w:p>
    <w:p>
      <w:pPr>
        <w:pStyle w:val="NoSpacing"/>
        <w:ind w:firstLine="709"/>
        <w:jc w:val="both"/>
        <w:rPr>
          <w:sz w:val="24"/>
          <w:szCs w:val="24"/>
        </w:rPr>
      </w:pPr>
      <w:r>
        <w:rPr>
          <w:sz w:val="24"/>
          <w:szCs w:val="24"/>
        </w:rPr>
        <w:t>В случае принятия Концедентом решения о частичной компенсации, либо об отказе от компенсации фактически понесенных расходов, Концедент в уведомлении обязательно указывает мотивы принятия такого решения.</w:t>
      </w:r>
    </w:p>
    <w:p>
      <w:pPr>
        <w:pStyle w:val="NoSpacing"/>
        <w:ind w:firstLine="709"/>
        <w:jc w:val="both"/>
        <w:rPr>
          <w:sz w:val="24"/>
          <w:szCs w:val="24"/>
        </w:rPr>
      </w:pPr>
      <w:r>
        <w:rPr>
          <w:sz w:val="24"/>
          <w:szCs w:val="24"/>
        </w:rPr>
        <w:t>При наличии разногласий Сторон по поводу размера компенсации фактически понесенных расходов Концессионеру, такие разногласия решаются путем проведения совместных совещаний (переговоров) между Концедентом и Концессионером.</w:t>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t>При этом срок переговоров не может превышать 3 (три) месяца с даты расторжения настоящего Соглашения. В случае не достижения Сторонами согласия в ходе переговоров, такие разногласия подлежат урегулированию в суде в порядке, установленном законодательством Российской Федерации</w:t>
      </w:r>
    </w:p>
    <w:p>
      <w:pPr>
        <w:pStyle w:val="NoSpacing"/>
        <w:ind w:firstLine="709"/>
        <w:jc w:val="both"/>
        <w:rPr>
          <w:sz w:val="24"/>
          <w:szCs w:val="24"/>
        </w:rPr>
      </w:pPr>
      <w:r>
        <w:rPr>
          <w:sz w:val="24"/>
          <w:szCs w:val="24"/>
        </w:rPr>
        <w:t>Концедент обязуется осуществить возмещение расходов Концессионера, согласованных Сторонами, либо на основании решения суда, в срок, не превышающий                    1 (один) год с момента расторжения настоящего Соглашения.</w:t>
      </w:r>
    </w:p>
    <w:p>
      <w:pPr>
        <w:pStyle w:val="NoSpacing"/>
        <w:ind w:firstLine="709"/>
        <w:jc w:val="both"/>
        <w:rPr>
          <w:sz w:val="24"/>
          <w:szCs w:val="24"/>
        </w:rPr>
      </w:pPr>
      <w:r>
        <w:rPr>
          <w:sz w:val="24"/>
          <w:szCs w:val="24"/>
        </w:rPr>
        <w:t>В случае окончания срока действия концессионного соглашения, 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настоящего Соглашения, Стороны вправе продлить срок действия настоящего Соглашения на период, достаточный для возмещения расходов Концессионера,                                  но не более чем на 5 лет.</w:t>
      </w:r>
    </w:p>
    <w:p>
      <w:pPr>
        <w:pStyle w:val="NoSpacing"/>
        <w:ind w:firstLine="709"/>
        <w:jc w:val="both"/>
        <w:rPr>
          <w:sz w:val="24"/>
          <w:szCs w:val="24"/>
        </w:rPr>
      </w:pPr>
      <w:r>
        <w:rPr>
          <w:sz w:val="24"/>
          <w:szCs w:val="24"/>
        </w:rPr>
        <w:t>Концессионер не позднее, чем за 90 (девяносто) дней до момента окончания срока действия настоящего Соглашения, вправе направить Концеденту экономически обоснованное и документально подтвержденное требование о возмещении расходов Концессионера, а также расчет периода, на который должен быть продлен срок действия настоящего Соглашения.</w:t>
      </w:r>
    </w:p>
    <w:p>
      <w:pPr>
        <w:pStyle w:val="NoSpacing"/>
        <w:ind w:firstLine="709"/>
        <w:jc w:val="both"/>
        <w:rPr>
          <w:sz w:val="24"/>
          <w:szCs w:val="24"/>
        </w:rPr>
      </w:pPr>
      <w:r>
        <w:rPr>
          <w:sz w:val="24"/>
          <w:szCs w:val="24"/>
        </w:rPr>
        <w:t>Концедент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pPr>
        <w:pStyle w:val="NoSpacing"/>
        <w:ind w:firstLine="709"/>
        <w:jc w:val="both"/>
        <w:rPr>
          <w:sz w:val="24"/>
          <w:szCs w:val="24"/>
        </w:rPr>
      </w:pPr>
      <w:r>
        <w:rPr>
          <w:sz w:val="24"/>
          <w:szCs w:val="24"/>
        </w:rPr>
        <w:t>- о продлении срока настоящего Соглашения;</w:t>
      </w:r>
    </w:p>
    <w:p>
      <w:pPr>
        <w:pStyle w:val="NoSpacing"/>
        <w:ind w:firstLine="709"/>
        <w:jc w:val="both"/>
        <w:rPr>
          <w:sz w:val="24"/>
          <w:szCs w:val="24"/>
        </w:rPr>
      </w:pPr>
      <w:r>
        <w:rPr>
          <w:sz w:val="24"/>
          <w:szCs w:val="24"/>
        </w:rPr>
        <w:t>- о продлении срока настоящего Соглашения, на срок менее заявленного Концессионером;</w:t>
      </w:r>
    </w:p>
    <w:p>
      <w:pPr>
        <w:pStyle w:val="NoSpacing"/>
        <w:ind w:firstLine="709"/>
        <w:jc w:val="both"/>
        <w:rPr>
          <w:sz w:val="24"/>
          <w:szCs w:val="24"/>
        </w:rPr>
      </w:pPr>
      <w:r>
        <w:rPr>
          <w:sz w:val="24"/>
          <w:szCs w:val="24"/>
        </w:rPr>
        <w:t>- об отказе в возмещении расходов Концессионера и не продлении срока настоящего Соглашения.</w:t>
      </w:r>
    </w:p>
    <w:p>
      <w:pPr>
        <w:pStyle w:val="NoSpacing"/>
        <w:ind w:firstLine="709"/>
        <w:jc w:val="both"/>
        <w:rPr>
          <w:sz w:val="24"/>
          <w:szCs w:val="24"/>
        </w:rPr>
      </w:pPr>
      <w:r>
        <w:rPr>
          <w:sz w:val="24"/>
          <w:szCs w:val="24"/>
        </w:rPr>
        <w:t xml:space="preserve">Срок возмещения расходов Концессионера при условии не продления срока действия настоящего Соглашения не может превышать два года. </w:t>
      </w:r>
    </w:p>
    <w:p>
      <w:pPr>
        <w:pStyle w:val="NoSpacing"/>
        <w:ind w:firstLine="709"/>
        <w:jc w:val="both"/>
        <w:rPr>
          <w:sz w:val="24"/>
          <w:szCs w:val="24"/>
        </w:rPr>
      </w:pPr>
      <w:r>
        <w:rPr>
          <w:sz w:val="24"/>
          <w:szCs w:val="24"/>
        </w:rPr>
        <w:t>В случае недостижения взаимного согласия, спор подлежит разрешению                                   в судебном порядке.</w:t>
      </w:r>
    </w:p>
    <w:p>
      <w:pPr>
        <w:pStyle w:val="NoSpacing"/>
        <w:ind w:firstLine="709"/>
        <w:jc w:val="both"/>
        <w:rPr>
          <w:sz w:val="24"/>
          <w:szCs w:val="24"/>
        </w:rPr>
      </w:pPr>
      <w:r>
        <w:rPr>
          <w:sz w:val="24"/>
          <w:szCs w:val="24"/>
        </w:rPr>
        <w:t>10. Обязательства концедента и концессионера по подготовке территории, необходимой для реконструкции объекта концессионного соглашения.</w:t>
      </w:r>
    </w:p>
    <w:p>
      <w:pPr>
        <w:pStyle w:val="NoSpacing"/>
        <w:ind w:firstLine="709"/>
        <w:jc w:val="both"/>
        <w:rPr>
          <w:sz w:val="24"/>
          <w:szCs w:val="24"/>
        </w:rPr>
      </w:pPr>
      <w:r>
        <w:rPr>
          <w:sz w:val="24"/>
          <w:szCs w:val="24"/>
        </w:rPr>
        <w:t>Концедент обязуется осуществить действия по подготовке территории, необходимой для реконструкции Объекта соглашения, в том числе:</w:t>
      </w:r>
    </w:p>
    <w:p>
      <w:pPr>
        <w:pStyle w:val="NoSpacing"/>
        <w:ind w:firstLine="709"/>
        <w:jc w:val="both"/>
        <w:rPr>
          <w:sz w:val="24"/>
          <w:szCs w:val="24"/>
        </w:rPr>
      </w:pPr>
      <w:r>
        <w:rPr>
          <w:sz w:val="24"/>
          <w:szCs w:val="24"/>
        </w:rPr>
        <w:t>- обеспечить снос или перенос самовольных построек, расположенных в зоне реконструкции Объекта соглашения, препятствующих реализации мероприятий                          по реконструкции;</w:t>
      </w:r>
    </w:p>
    <w:p>
      <w:pPr>
        <w:pStyle w:val="NoSpacing"/>
        <w:ind w:firstLine="709"/>
        <w:jc w:val="both"/>
        <w:rPr>
          <w:sz w:val="24"/>
          <w:szCs w:val="24"/>
        </w:rPr>
      </w:pPr>
      <w:r>
        <w:rPr>
          <w:sz w:val="24"/>
          <w:szCs w:val="24"/>
        </w:rPr>
        <w:t>- если на земельных участках над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муниципальных нужд;</w:t>
      </w:r>
    </w:p>
    <w:p>
      <w:pPr>
        <w:pStyle w:val="NoSpacing"/>
        <w:ind w:firstLine="709"/>
        <w:jc w:val="both"/>
        <w:rPr>
          <w:sz w:val="24"/>
          <w:szCs w:val="24"/>
        </w:rPr>
      </w:pPr>
      <w:r>
        <w:rPr>
          <w:sz w:val="24"/>
          <w:szCs w:val="24"/>
        </w:rPr>
        <w:t>- 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w:t>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8"/>
        <w:jc w:val="both"/>
        <w:rPr>
          <w:sz w:val="24"/>
          <w:szCs w:val="24"/>
        </w:rPr>
      </w:pPr>
      <w:r>
        <w:rPr>
          <w:sz w:val="24"/>
          <w:szCs w:val="24"/>
        </w:rPr>
        <w:t>11. Объем необходимой валовой выручки, получаемой концессионером в рамках реализации концессионного соглашения.</w:t>
      </w:r>
    </w:p>
    <w:tbl>
      <w:tblPr>
        <w:tblW w:w="12346" w:type="dxa"/>
        <w:jc w:val="left"/>
        <w:tblInd w:w="0" w:type="dxa"/>
        <w:tblCellMar>
          <w:top w:w="0" w:type="dxa"/>
          <w:left w:w="108" w:type="dxa"/>
          <w:bottom w:w="0" w:type="dxa"/>
          <w:right w:w="108" w:type="dxa"/>
        </w:tblCellMar>
        <w:tblLook w:val="04a0"/>
      </w:tblPr>
      <w:tblGrid>
        <w:gridCol w:w="1837"/>
        <w:gridCol w:w="586"/>
        <w:gridCol w:w="506"/>
        <w:gridCol w:w="506"/>
        <w:gridCol w:w="507"/>
        <w:gridCol w:w="507"/>
        <w:gridCol w:w="506"/>
        <w:gridCol w:w="506"/>
        <w:gridCol w:w="507"/>
        <w:gridCol w:w="506"/>
        <w:gridCol w:w="506"/>
        <w:gridCol w:w="506"/>
        <w:gridCol w:w="638"/>
        <w:gridCol w:w="637"/>
        <w:gridCol w:w="668"/>
        <w:gridCol w:w="960"/>
        <w:gridCol w:w="959"/>
        <w:gridCol w:w="995"/>
      </w:tblGrid>
      <w:tr>
        <w:trPr>
          <w:trHeight w:val="1134" w:hRule="atLeast"/>
          <w:cantSplit w:val="true"/>
        </w:trPr>
        <w:tc>
          <w:tcPr>
            <w:tcW w:w="1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sz w:val="24"/>
                <w:szCs w:val="24"/>
              </w:rPr>
            </w:pPr>
            <w:r>
              <w:rPr>
                <w:rFonts w:eastAsia="Times New Roman"/>
                <w:sz w:val="24"/>
                <w:szCs w:val="24"/>
              </w:rPr>
              <w:t>Год</w:t>
            </w:r>
          </w:p>
        </w:tc>
        <w:tc>
          <w:tcPr>
            <w:tcW w:w="58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24"/>
                <w:szCs w:val="24"/>
              </w:rPr>
            </w:pPr>
            <w:r>
              <w:rPr>
                <w:rFonts w:eastAsia="Times New Roman"/>
                <w:sz w:val="24"/>
                <w:szCs w:val="24"/>
              </w:rPr>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2022</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2023</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2024</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2025</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2026</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2027</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2028</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2029</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2030</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2031</w:t>
            </w:r>
          </w:p>
        </w:tc>
        <w:tc>
          <w:tcPr>
            <w:tcW w:w="63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2032</w:t>
            </w:r>
          </w:p>
        </w:tc>
        <w:tc>
          <w:tcPr>
            <w:tcW w:w="63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2033</w:t>
            </w:r>
          </w:p>
        </w:tc>
        <w:tc>
          <w:tcPr>
            <w:tcW w:w="66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sz w:val="24"/>
                <w:szCs w:val="24"/>
              </w:rPr>
            </w:pPr>
            <w:r>
              <w:rPr>
                <w:rFonts w:eastAsia="Times New Roman"/>
                <w:color w:val="000000"/>
                <w:sz w:val="24"/>
                <w:szCs w:val="24"/>
              </w:rPr>
              <w:t>2034</w:t>
            </w:r>
          </w:p>
        </w:tc>
        <w:tc>
          <w:tcPr>
            <w:tcW w:w="960" w:type="dxa"/>
            <w:tcBorders/>
            <w:shd w:color="auto" w:fill="auto" w:val="clear"/>
            <w:textDirection w:val="btLr"/>
            <w:vAlign w:val="bottom"/>
          </w:tcPr>
          <w:p>
            <w:pPr>
              <w:pStyle w:val="Normal"/>
              <w:widowControl/>
              <w:ind w:left="113" w:right="113" w:hanging="0"/>
              <w:jc w:val="center"/>
              <w:rPr>
                <w:rFonts w:eastAsia="Times New Roman"/>
                <w:color w:val="000000"/>
                <w:sz w:val="24"/>
                <w:szCs w:val="24"/>
              </w:rPr>
            </w:pPr>
            <w:r>
              <w:rPr>
                <w:rFonts w:eastAsia="Times New Roman"/>
                <w:color w:val="000000"/>
                <w:sz w:val="24"/>
                <w:szCs w:val="24"/>
              </w:rPr>
            </w:r>
          </w:p>
        </w:tc>
        <w:tc>
          <w:tcPr>
            <w:tcW w:w="959" w:type="dxa"/>
            <w:tcBorders/>
            <w:shd w:color="auto" w:fill="auto" w:val="clear"/>
            <w:vAlign w:val="bottom"/>
          </w:tcPr>
          <w:p>
            <w:pPr>
              <w:pStyle w:val="Normal"/>
              <w:widowControl/>
              <w:rPr>
                <w:rFonts w:eastAsia="Times New Roman"/>
              </w:rPr>
            </w:pPr>
            <w:r>
              <w:rPr>
                <w:rFonts w:eastAsia="Times New Roman"/>
              </w:rPr>
            </w:r>
          </w:p>
        </w:tc>
        <w:tc>
          <w:tcPr>
            <w:tcW w:w="995" w:type="dxa"/>
            <w:tcBorders/>
            <w:shd w:color="auto" w:fill="auto" w:val="clear"/>
            <w:vAlign w:val="bottom"/>
          </w:tcPr>
          <w:p>
            <w:pPr>
              <w:pStyle w:val="Normal"/>
              <w:widowControl/>
              <w:rPr>
                <w:rFonts w:eastAsia="Times New Roman"/>
              </w:rPr>
            </w:pPr>
            <w:r>
              <w:rPr>
                <w:rFonts w:eastAsia="Times New Roman"/>
              </w:rPr>
            </w:r>
          </w:p>
        </w:tc>
      </w:tr>
      <w:tr>
        <w:trPr>
          <w:trHeight w:val="1787" w:hRule="atLeast"/>
          <w:cantSplit w:val="true"/>
        </w:trPr>
        <w:tc>
          <w:tcPr>
            <w:tcW w:w="1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xml:space="preserve">Объем необходимой валовой выручки по годам </w:t>
            </w:r>
          </w:p>
        </w:tc>
        <w:tc>
          <w:tcPr>
            <w:tcW w:w="586"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тыс. руб.</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106 207,89</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110 329,93</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114 642,18</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119 127,90</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123 794,05</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128 647,82</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133 696,73</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138 927,35</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144 386,67</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150 052,52</w:t>
            </w:r>
          </w:p>
        </w:tc>
        <w:tc>
          <w:tcPr>
            <w:tcW w:w="63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155 964,17</w:t>
            </w:r>
          </w:p>
        </w:tc>
        <w:tc>
          <w:tcPr>
            <w:tcW w:w="63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162 113,23</w:t>
            </w:r>
          </w:p>
        </w:tc>
        <w:tc>
          <w:tcPr>
            <w:tcW w:w="66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color w:val="000000"/>
              </w:rPr>
            </w:pPr>
            <w:r>
              <w:rPr>
                <w:rFonts w:eastAsia="Times New Roman"/>
                <w:color w:val="000000"/>
              </w:rPr>
              <w:t>168 499,72</w:t>
            </w:r>
          </w:p>
        </w:tc>
        <w:tc>
          <w:tcPr>
            <w:tcW w:w="960" w:type="dxa"/>
            <w:tcBorders/>
            <w:shd w:color="auto" w:fill="auto" w:val="clear"/>
            <w:vAlign w:val="bottom"/>
          </w:tcPr>
          <w:p>
            <w:pPr>
              <w:pStyle w:val="Normal"/>
              <w:widowControl/>
              <w:jc w:val="center"/>
              <w:rPr>
                <w:rFonts w:eastAsia="Times New Roman"/>
                <w:color w:val="000000"/>
              </w:rPr>
            </w:pPr>
            <w:r>
              <w:rPr>
                <w:rFonts w:eastAsia="Times New Roman"/>
                <w:color w:val="000000"/>
              </w:rPr>
            </w:r>
          </w:p>
        </w:tc>
        <w:tc>
          <w:tcPr>
            <w:tcW w:w="959" w:type="dxa"/>
            <w:tcBorders/>
            <w:shd w:color="auto" w:fill="auto" w:val="clear"/>
            <w:vAlign w:val="bottom"/>
          </w:tcPr>
          <w:p>
            <w:pPr>
              <w:pStyle w:val="Normal"/>
              <w:widowControl/>
              <w:rPr>
                <w:rFonts w:eastAsia="Times New Roman"/>
              </w:rPr>
            </w:pPr>
            <w:r>
              <w:rPr>
                <w:rFonts w:eastAsia="Times New Roman"/>
              </w:rPr>
            </w:r>
          </w:p>
        </w:tc>
        <w:tc>
          <w:tcPr>
            <w:tcW w:w="995" w:type="dxa"/>
            <w:tcBorders/>
            <w:shd w:color="auto" w:fill="auto" w:val="clear"/>
            <w:vAlign w:val="bottom"/>
          </w:tcPr>
          <w:p>
            <w:pPr>
              <w:pStyle w:val="Normal"/>
              <w:widowControl/>
              <w:rPr>
                <w:rFonts w:eastAsia="Times New Roman"/>
              </w:rPr>
            </w:pPr>
            <w:r>
              <w:rPr>
                <w:rFonts w:eastAsia="Times New Roman"/>
              </w:rPr>
            </w:r>
          </w:p>
        </w:tc>
      </w:tr>
    </w:tbl>
    <w:p>
      <w:pPr>
        <w:pStyle w:val="NoSpacing"/>
        <w:numPr>
          <w:ilvl w:val="0"/>
          <w:numId w:val="1"/>
        </w:numPr>
        <w:ind w:left="0" w:firstLine="851"/>
        <w:jc w:val="both"/>
        <w:rPr>
          <w:sz w:val="24"/>
          <w:szCs w:val="24"/>
        </w:rPr>
      </w:pPr>
      <w:r>
        <w:rPr>
          <w:sz w:val="24"/>
          <w:szCs w:val="24"/>
        </w:rPr>
        <w:t>Обязательства концедента по принятию на себя части расходов на использование (эксплуатации), капитальный ремонт объекта концессионного соглашения.</w:t>
      </w:r>
    </w:p>
    <w:p>
      <w:pPr>
        <w:pStyle w:val="NoSpacing"/>
        <w:ind w:firstLine="708"/>
        <w:jc w:val="both"/>
        <w:rPr>
          <w:sz w:val="24"/>
          <w:szCs w:val="24"/>
        </w:rPr>
      </w:pPr>
      <w:r>
        <w:rPr>
          <w:sz w:val="24"/>
          <w:szCs w:val="24"/>
        </w:rPr>
        <w:t xml:space="preserve">Концедент вправе принимать на себя часть расходов на использование (эксплуатацию), капитальный ремонт Объекта соглашения и предоставлять Концессионеру муниципальные гарантии в соответствии с бюджетным </w:t>
      </w:r>
      <w:hyperlink r:id="rId5">
        <w:r>
          <w:rPr>
            <w:sz w:val="24"/>
            <w:szCs w:val="24"/>
          </w:rPr>
          <w:t>законодательством</w:t>
        </w:r>
      </w:hyperlink>
      <w:r>
        <w:rPr>
          <w:sz w:val="24"/>
          <w:szCs w:val="24"/>
        </w:rPr>
        <w:t xml:space="preserve"> Российской Федерации.</w:t>
      </w:r>
    </w:p>
    <w:p>
      <w:pPr>
        <w:pStyle w:val="NoSpacing"/>
        <w:numPr>
          <w:ilvl w:val="0"/>
          <w:numId w:val="1"/>
        </w:numPr>
        <w:jc w:val="both"/>
        <w:rPr>
          <w:sz w:val="24"/>
          <w:szCs w:val="24"/>
        </w:rPr>
      </w:pPr>
      <w:r>
        <w:rPr>
          <w:sz w:val="24"/>
          <w:szCs w:val="24"/>
        </w:rPr>
        <w:t>Иные условия.</w:t>
      </w:r>
    </w:p>
    <w:p>
      <w:pPr>
        <w:pStyle w:val="Normal"/>
        <w:shd w:val="clear" w:color="auto" w:fill="FFFFFF"/>
        <w:ind w:firstLine="708"/>
        <w:jc w:val="both"/>
        <w:rPr>
          <w:sz w:val="24"/>
          <w:szCs w:val="24"/>
        </w:rPr>
      </w:pPr>
      <w:r>
        <w:rPr>
          <w:rFonts w:eastAsia="Times New Roman"/>
          <w:sz w:val="24"/>
          <w:szCs w:val="24"/>
        </w:rPr>
        <w:t>В случае передачи по соглашению незарегистрированного недвижимого имущества концессионер обязуется обеспечить государственную регистрацию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обеспечить государственную регистрацию обременения данного права в соответствии с </w:t>
      </w:r>
      <w:hyperlink r:id="rId6">
        <w:r>
          <w:rPr>
            <w:rFonts w:eastAsia="Calibri" w:eastAsiaTheme="minorHAnsi"/>
            <w:color w:val="auto"/>
            <w:sz w:val="24"/>
            <w:szCs w:val="24"/>
          </w:rPr>
          <w:t>частью 15 статьи 3</w:t>
        </w:r>
      </w:hyperlink>
      <w:r>
        <w:rPr>
          <w:rFonts w:eastAsia="Times New Roman"/>
          <w:sz w:val="24"/>
          <w:szCs w:val="24"/>
        </w:rPr>
        <w:t> Федерального закона от 21.07.2015 № 115-ФЗ «О концессионных соглашениях» в срок, равный одному году с даты вступления в силу концессионного соглашения.</w:t>
      </w:r>
    </w:p>
    <w:p>
      <w:pPr>
        <w:pStyle w:val="Normal"/>
        <w:shd w:val="clear" w:color="auto" w:fill="FFFFFF"/>
        <w:ind w:firstLine="708"/>
        <w:jc w:val="both"/>
        <w:rPr>
          <w:sz w:val="24"/>
          <w:szCs w:val="24"/>
        </w:rPr>
      </w:pPr>
      <w:r>
        <w:rPr>
          <w:rFonts w:eastAsia="Times New Roman"/>
          <w:sz w:val="24"/>
          <w:szCs w:val="24"/>
        </w:rPr>
        <w:t>Сроки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могут быть перенесены в случае принятия Правительством Российской Федерации соответствующего решения, предусмотренного Федеральным </w:t>
      </w:r>
      <w:hyperlink r:id="rId7">
        <w:r>
          <w:rPr>
            <w:rFonts w:eastAsia="Calibri" w:eastAsiaTheme="minorHAnsi"/>
            <w:color w:val="auto"/>
            <w:sz w:val="24"/>
            <w:szCs w:val="24"/>
          </w:rPr>
          <w:t>законом</w:t>
        </w:r>
      </w:hyperlink>
      <w:r>
        <w:rPr>
          <w:rFonts w:eastAsia="Times New Roman"/>
          <w:sz w:val="24"/>
          <w:szCs w:val="24"/>
        </w:rPr>
        <w:t>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изменением экономической конъюнктуры.</w:t>
      </w:r>
    </w:p>
    <w:p>
      <w:pPr>
        <w:pStyle w:val="Normal"/>
        <w:shd w:val="clear" w:color="auto" w:fill="FFFFFF"/>
        <w:ind w:firstLine="708"/>
        <w:jc w:val="both"/>
        <w:rPr>
          <w:sz w:val="24"/>
          <w:szCs w:val="24"/>
        </w:rPr>
      </w:pPr>
      <w:r>
        <w:rPr>
          <w:rFonts w:eastAsia="Times New Roman"/>
          <w:sz w:val="24"/>
          <w:szCs w:val="24"/>
        </w:rPr>
        <w:t>В случае принятия Правительством Российской Федерации решения,                           указанного в части 21 статьи 32 Федерального закона от 07.12.2011</w:t>
        <w:br/>
        <w:t>№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r:id="rId8">
        <w:r>
          <w:rPr>
            <w:rFonts w:eastAsia="Calibri" w:eastAsiaTheme="minorHAnsi"/>
            <w:color w:val="auto"/>
            <w:sz w:val="24"/>
            <w:szCs w:val="24"/>
          </w:rPr>
          <w:t>пунктах 2</w:t>
        </w:r>
      </w:hyperlink>
      <w:r>
        <w:rPr>
          <w:rFonts w:eastAsia="Times New Roman"/>
          <w:sz w:val="24"/>
          <w:szCs w:val="24"/>
        </w:rPr>
        <w:t> - </w:t>
      </w:r>
      <w:hyperlink r:id="rId9">
        <w:r>
          <w:rPr>
            <w:rFonts w:eastAsia="Calibri" w:eastAsiaTheme="minorHAnsi"/>
            <w:color w:val="auto"/>
            <w:sz w:val="24"/>
            <w:szCs w:val="24"/>
          </w:rPr>
          <w:t>4 части 1 статьи 42</w:t>
        </w:r>
      </w:hyperlink>
      <w:r>
        <w:rPr>
          <w:rFonts w:eastAsia="Times New Roman"/>
          <w:sz w:val="24"/>
          <w:szCs w:val="24"/>
        </w:rPr>
        <w:t> Федерального закона от 21.07.2015 № 115-ФЗ «О концессионных соглашениях»,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ListParagraph"/>
        <w:ind w:left="1065" w:hanging="0"/>
        <w:rPr>
          <w:rFonts w:eastAsia="Calibri" w:eastAsiaTheme="minorHAnsi"/>
          <w:sz w:val="24"/>
          <w:szCs w:val="24"/>
          <w:lang w:val="ru-RU" w:eastAsia="en-US"/>
        </w:rPr>
      </w:pPr>
      <w:r>
        <w:rPr>
          <w:rFonts w:eastAsia="Calibri" w:eastAsiaTheme="minorHAnsi"/>
          <w:sz w:val="24"/>
          <w:szCs w:val="24"/>
          <w:lang w:val="ru-RU" w:eastAsia="en-US"/>
        </w:rPr>
      </w:r>
    </w:p>
    <w:p>
      <w:pPr>
        <w:pStyle w:val="Normal"/>
        <w:jc w:val="center"/>
        <w:rPr>
          <w:rFonts w:eastAsia="Calibri" w:eastAsiaTheme="minorHAnsi"/>
          <w:sz w:val="24"/>
          <w:szCs w:val="24"/>
          <w:lang w:eastAsia="en-US"/>
        </w:rPr>
      </w:pPr>
      <w:r>
        <w:rPr>
          <w:rFonts w:eastAsia="Calibri" w:eastAsiaTheme="minorHAnsi"/>
          <w:sz w:val="24"/>
          <w:szCs w:val="24"/>
          <w:lang w:eastAsia="en-US"/>
        </w:rPr>
      </w:r>
    </w:p>
    <w:p>
      <w:pPr>
        <w:pStyle w:val="Normal"/>
        <w:jc w:val="right"/>
        <w:rPr>
          <w:rFonts w:eastAsia="Calibri" w:eastAsiaTheme="minorHAnsi"/>
          <w:sz w:val="24"/>
          <w:szCs w:val="24"/>
          <w:lang w:eastAsia="en-US"/>
        </w:rPr>
      </w:pPr>
      <w:r>
        <w:rPr>
          <w:rFonts w:eastAsia="Calibri" w:eastAsiaTheme="minorHAnsi"/>
          <w:sz w:val="24"/>
          <w:szCs w:val="24"/>
          <w:lang w:eastAsia="en-US"/>
        </w:rPr>
      </w:r>
    </w:p>
    <w:p>
      <w:pPr>
        <w:pStyle w:val="Normal"/>
        <w:jc w:val="right"/>
        <w:rPr>
          <w:rFonts w:eastAsia="Calibri" w:eastAsiaTheme="minorHAnsi"/>
          <w:sz w:val="28"/>
          <w:szCs w:val="28"/>
          <w:lang w:eastAsia="en-US"/>
        </w:rPr>
      </w:pPr>
      <w:r>
        <w:rPr>
          <w:rFonts w:eastAsia="Calibri" w:eastAsiaTheme="minorHAnsi"/>
          <w:sz w:val="28"/>
          <w:szCs w:val="28"/>
          <w:lang w:eastAsia="en-US"/>
        </w:rPr>
      </w:r>
    </w:p>
    <w:p>
      <w:pPr>
        <w:pStyle w:val="Normal"/>
        <w:jc w:val="right"/>
        <w:rPr>
          <w:rFonts w:eastAsia="Calibri" w:eastAsiaTheme="minorHAnsi"/>
          <w:sz w:val="28"/>
          <w:szCs w:val="28"/>
          <w:lang w:eastAsia="en-US"/>
        </w:rPr>
      </w:pPr>
      <w:r>
        <w:rPr>
          <w:rFonts w:eastAsia="Calibri" w:eastAsiaTheme="minorHAnsi"/>
          <w:sz w:val="28"/>
          <w:szCs w:val="28"/>
          <w:lang w:eastAsia="en-US"/>
        </w:rPr>
      </w:r>
    </w:p>
    <w:p>
      <w:pPr>
        <w:pStyle w:val="Normal"/>
        <w:jc w:val="right"/>
        <w:rPr>
          <w:rFonts w:eastAsia="Calibri" w:eastAsiaTheme="minorHAnsi"/>
          <w:sz w:val="28"/>
          <w:szCs w:val="28"/>
          <w:lang w:eastAsia="en-US"/>
        </w:rPr>
      </w:pPr>
      <w:r>
        <w:rPr>
          <w:rFonts w:eastAsia="Calibri" w:eastAsiaTheme="minorHAnsi"/>
          <w:sz w:val="28"/>
          <w:szCs w:val="28"/>
          <w:lang w:eastAsia="en-US"/>
        </w:rPr>
      </w:r>
    </w:p>
    <w:p>
      <w:pPr>
        <w:pStyle w:val="Normal"/>
        <w:jc w:val="right"/>
        <w:rPr>
          <w:rFonts w:eastAsia="Calibri" w:eastAsiaTheme="minorHAnsi"/>
          <w:sz w:val="28"/>
          <w:szCs w:val="28"/>
          <w:lang w:eastAsia="en-US"/>
        </w:rPr>
      </w:pPr>
      <w:r>
        <w:rPr>
          <w:rFonts w:eastAsia="Calibri" w:eastAsiaTheme="minorHAnsi"/>
          <w:sz w:val="28"/>
          <w:szCs w:val="28"/>
          <w:lang w:eastAsia="en-US"/>
        </w:rPr>
      </w:r>
    </w:p>
    <w:p>
      <w:pPr>
        <w:pStyle w:val="Normal"/>
        <w:jc w:val="right"/>
        <w:rPr>
          <w:sz w:val="24"/>
          <w:szCs w:val="24"/>
        </w:rPr>
      </w:pPr>
      <w:r>
        <w:rPr>
          <w:sz w:val="24"/>
          <w:szCs w:val="24"/>
        </w:rPr>
        <w:t>Приложение № 3</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08.04.2022  №  629</w:t>
      </w:r>
    </w:p>
    <w:p>
      <w:pPr>
        <w:pStyle w:val="Normal"/>
        <w:tabs>
          <w:tab w:val="clear" w:pos="708"/>
          <w:tab w:val="left" w:pos="7538"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center"/>
        <w:rPr>
          <w:rFonts w:eastAsia="Calibri" w:eastAsiaTheme="minorHAnsi"/>
          <w:b/>
          <w:b/>
          <w:sz w:val="24"/>
          <w:szCs w:val="24"/>
          <w:lang w:eastAsia="en-US"/>
        </w:rPr>
      </w:pPr>
      <w:r>
        <w:rPr>
          <w:rFonts w:eastAsia="Calibri" w:eastAsiaTheme="minorHAnsi"/>
          <w:b/>
          <w:sz w:val="24"/>
          <w:szCs w:val="24"/>
          <w:lang w:eastAsia="en-US"/>
        </w:rPr>
        <w:t>Критерии конкурса и параметры критериев конкурса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ListParagraph"/>
        <w:widowControl w:val="false"/>
        <w:ind w:left="0" w:firstLine="709"/>
        <w:jc w:val="both"/>
        <w:rPr>
          <w:rFonts w:eastAsia="Calibri" w:eastAsiaTheme="minorHAnsi"/>
          <w:sz w:val="24"/>
          <w:szCs w:val="24"/>
          <w:lang w:val="ru-RU" w:eastAsia="en-US"/>
        </w:rPr>
      </w:pPr>
      <w:r>
        <w:rPr>
          <w:rFonts w:eastAsia="Calibri" w:eastAsiaTheme="minorHAnsi"/>
          <w:sz w:val="24"/>
          <w:szCs w:val="24"/>
          <w:lang w:val="ru-RU" w:eastAsia="en-US"/>
        </w:rPr>
        <w:t>1. Предельный размер расходов на реконструкцию объекта концессионного соглашения – 21870,65 тыс.руб.</w:t>
      </w:r>
    </w:p>
    <w:p>
      <w:pPr>
        <w:pStyle w:val="ListParagraph"/>
        <w:widowControl w:val="false"/>
        <w:ind w:left="0" w:firstLine="709"/>
        <w:jc w:val="both"/>
        <w:rPr>
          <w:rFonts w:eastAsia="Calibri" w:eastAsiaTheme="minorHAnsi"/>
          <w:sz w:val="24"/>
          <w:szCs w:val="24"/>
          <w:lang w:val="ru-RU" w:eastAsia="en-US"/>
        </w:rPr>
      </w:pPr>
      <w:r>
        <w:rPr>
          <w:rFonts w:eastAsia="Calibri" w:eastAsiaTheme="minorHAnsi"/>
          <w:sz w:val="24"/>
          <w:szCs w:val="24"/>
          <w:lang w:val="ru-RU" w:eastAsia="en-US"/>
        </w:rPr>
      </w:r>
    </w:p>
    <w:tbl>
      <w:tblPr>
        <w:tblStyle w:val="af0"/>
        <w:tblW w:w="10324" w:type="dxa"/>
        <w:jc w:val="left"/>
        <w:tblInd w:w="-581" w:type="dxa"/>
        <w:tblCellMar>
          <w:top w:w="0" w:type="dxa"/>
          <w:left w:w="108" w:type="dxa"/>
          <w:bottom w:w="0" w:type="dxa"/>
          <w:right w:w="108" w:type="dxa"/>
        </w:tblCellMar>
        <w:tblLook w:val="04a0"/>
      </w:tblPr>
      <w:tblGrid>
        <w:gridCol w:w="2629"/>
        <w:gridCol w:w="496"/>
        <w:gridCol w:w="513"/>
        <w:gridCol w:w="608"/>
        <w:gridCol w:w="607"/>
        <w:gridCol w:w="608"/>
        <w:gridCol w:w="608"/>
        <w:gridCol w:w="607"/>
        <w:gridCol w:w="608"/>
        <w:gridCol w:w="608"/>
        <w:gridCol w:w="607"/>
        <w:gridCol w:w="608"/>
        <w:gridCol w:w="608"/>
        <w:gridCol w:w="608"/>
      </w:tblGrid>
      <w:tr>
        <w:trPr>
          <w:trHeight w:val="1499" w:hRule="atLeast"/>
          <w:cantSplit w:val="true"/>
        </w:trPr>
        <w:tc>
          <w:tcPr>
            <w:tcW w:w="2629" w:type="dxa"/>
            <w:tcBorders/>
          </w:tcPr>
          <w:p>
            <w:pPr>
              <w:pStyle w:val="ListParagraph"/>
              <w:ind w:left="0" w:hanging="0"/>
              <w:jc w:val="center"/>
              <w:rPr>
                <w:rFonts w:eastAsia="Calibri" w:eastAsiaTheme="minorHAnsi"/>
                <w:sz w:val="23"/>
                <w:szCs w:val="23"/>
                <w:lang w:val="ru-RU" w:eastAsia="en-US"/>
              </w:rPr>
            </w:pPr>
            <w:r>
              <w:rPr>
                <w:rFonts w:eastAsia="Calibri" w:eastAsiaTheme="minorHAnsi"/>
                <w:sz w:val="23"/>
                <w:szCs w:val="23"/>
                <w:lang w:val="ru-RU" w:eastAsia="en-US"/>
              </w:rPr>
              <w:t>Наименование показателя</w:t>
            </w:r>
          </w:p>
        </w:tc>
        <w:tc>
          <w:tcPr>
            <w:tcW w:w="496"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2022</w:t>
            </w:r>
          </w:p>
        </w:tc>
        <w:tc>
          <w:tcPr>
            <w:tcW w:w="513"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2023</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2024</w:t>
            </w:r>
          </w:p>
        </w:tc>
        <w:tc>
          <w:tcPr>
            <w:tcW w:w="607"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2025</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2026</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2027</w:t>
            </w:r>
          </w:p>
        </w:tc>
        <w:tc>
          <w:tcPr>
            <w:tcW w:w="607"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2028</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2029</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2030</w:t>
            </w:r>
          </w:p>
        </w:tc>
        <w:tc>
          <w:tcPr>
            <w:tcW w:w="607"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2031</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2032</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2033</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2034</w:t>
            </w:r>
          </w:p>
        </w:tc>
      </w:tr>
      <w:tr>
        <w:trPr>
          <w:trHeight w:val="1134" w:hRule="atLeast"/>
          <w:cantSplit w:val="true"/>
        </w:trPr>
        <w:tc>
          <w:tcPr>
            <w:tcW w:w="2629" w:type="dxa"/>
            <w:tcBorders/>
          </w:tcPr>
          <w:p>
            <w:pPr>
              <w:pStyle w:val="ListParagraph"/>
              <w:widowControl w:val="false"/>
              <w:ind w:left="0" w:hanging="0"/>
              <w:jc w:val="center"/>
              <w:rPr>
                <w:rFonts w:eastAsia="Calibri" w:eastAsiaTheme="minorHAnsi"/>
                <w:sz w:val="23"/>
                <w:szCs w:val="23"/>
                <w:lang w:val="ru-RU" w:eastAsia="en-US"/>
              </w:rPr>
            </w:pPr>
            <w:r>
              <w:rPr>
                <w:rFonts w:eastAsia="Calibri" w:eastAsiaTheme="minorHAnsi"/>
                <w:sz w:val="23"/>
                <w:szCs w:val="23"/>
                <w:lang w:val="ru-RU" w:eastAsia="en-US"/>
              </w:rPr>
              <w:t>Предельный  (минимальный)</w:t>
            </w:r>
          </w:p>
          <w:p>
            <w:pPr>
              <w:pStyle w:val="ListParagraph"/>
              <w:widowControl w:val="false"/>
              <w:ind w:left="0" w:hanging="0"/>
              <w:jc w:val="center"/>
              <w:rPr>
                <w:rFonts w:eastAsia="Calibri" w:eastAsiaTheme="minorHAnsi"/>
                <w:sz w:val="23"/>
                <w:szCs w:val="23"/>
                <w:lang w:val="ru-RU" w:eastAsia="en-US"/>
              </w:rPr>
            </w:pPr>
            <w:r>
              <w:rPr>
                <w:rFonts w:eastAsia="Calibri" w:eastAsiaTheme="minorHAnsi"/>
                <w:sz w:val="23"/>
                <w:szCs w:val="23"/>
                <w:lang w:val="ru-RU" w:eastAsia="en-US"/>
              </w:rPr>
              <w:t xml:space="preserve"> </w:t>
            </w:r>
            <w:r>
              <w:rPr>
                <w:rFonts w:eastAsia="Calibri" w:eastAsiaTheme="minorHAnsi"/>
                <w:sz w:val="23"/>
                <w:szCs w:val="23"/>
                <w:lang w:val="ru-RU" w:eastAsia="en-US"/>
              </w:rPr>
              <w:t xml:space="preserve">размер расходов на реконструкцию объекта концессионного соглашения , которые предполагается осуществить концессионером, </w:t>
            </w:r>
          </w:p>
          <w:p>
            <w:pPr>
              <w:pStyle w:val="ListParagraph"/>
              <w:widowControl w:val="false"/>
              <w:ind w:left="0" w:hanging="0"/>
              <w:jc w:val="center"/>
              <w:rPr>
                <w:rFonts w:eastAsia="Calibri" w:eastAsiaTheme="minorHAnsi"/>
                <w:sz w:val="23"/>
                <w:szCs w:val="23"/>
                <w:lang w:val="ru-RU" w:eastAsia="en-US"/>
              </w:rPr>
            </w:pPr>
            <w:r>
              <w:rPr>
                <w:rFonts w:eastAsia="Calibri" w:eastAsiaTheme="minorHAnsi"/>
                <w:sz w:val="23"/>
                <w:szCs w:val="23"/>
                <w:lang w:val="ru-RU" w:eastAsia="en-US"/>
              </w:rPr>
              <w:t>без учета расходов, источником финансирования которых является плата за подключение (технологическое присоединение), тыс.руб</w:t>
            </w:r>
          </w:p>
        </w:tc>
        <w:tc>
          <w:tcPr>
            <w:tcW w:w="496"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0</w:t>
            </w:r>
          </w:p>
        </w:tc>
        <w:tc>
          <w:tcPr>
            <w:tcW w:w="513"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0</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1233,12</w:t>
            </w:r>
          </w:p>
        </w:tc>
        <w:tc>
          <w:tcPr>
            <w:tcW w:w="607"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1684,78</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1554,16</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1884,61</w:t>
            </w:r>
          </w:p>
        </w:tc>
        <w:tc>
          <w:tcPr>
            <w:tcW w:w="607"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2237,51</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2116,05</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2287,98</w:t>
            </w:r>
          </w:p>
        </w:tc>
        <w:tc>
          <w:tcPr>
            <w:tcW w:w="607"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2215,34</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1573,66</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2476,99</w:t>
            </w:r>
          </w:p>
        </w:tc>
        <w:tc>
          <w:tcPr>
            <w:tcW w:w="608" w:type="dxa"/>
            <w:tcBorders/>
            <w:textDirection w:val="btLr"/>
          </w:tcPr>
          <w:p>
            <w:pPr>
              <w:pStyle w:val="ListParagraph"/>
              <w:ind w:left="113" w:right="113" w:hanging="0"/>
              <w:jc w:val="center"/>
              <w:rPr>
                <w:rFonts w:eastAsia="Calibri" w:eastAsiaTheme="minorHAnsi"/>
                <w:sz w:val="23"/>
                <w:szCs w:val="23"/>
                <w:lang w:val="ru-RU" w:eastAsia="en-US"/>
              </w:rPr>
            </w:pPr>
            <w:r>
              <w:rPr>
                <w:rFonts w:eastAsia="Calibri" w:eastAsiaTheme="minorHAnsi"/>
                <w:sz w:val="23"/>
                <w:szCs w:val="23"/>
                <w:lang w:val="ru-RU" w:eastAsia="en-US"/>
              </w:rPr>
              <w:t>2606,45</w:t>
            </w:r>
          </w:p>
        </w:tc>
      </w:tr>
    </w:tbl>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 0,00 тыс.руб.</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 0,00 тыс.руб.</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ListParagraph"/>
        <w:widowControl w:val="false"/>
        <w:spacing w:before="0" w:after="0"/>
        <w:ind w:left="0" w:firstLine="709"/>
        <w:contextualSpacing/>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p>
      <w:pPr>
        <w:pStyle w:val="ListParagraph"/>
        <w:ind w:left="1070" w:hanging="0"/>
        <w:jc w:val="both"/>
        <w:rPr>
          <w:rFonts w:eastAsia="Calibri" w:eastAsiaTheme="minorHAnsi"/>
          <w:sz w:val="24"/>
          <w:szCs w:val="24"/>
          <w:lang w:val="ru-RU" w:eastAsia="en-US"/>
        </w:rPr>
      </w:pPr>
      <w:r>
        <w:rPr>
          <w:rFonts w:eastAsia="Calibri" w:eastAsiaTheme="minorHAnsi"/>
          <w:sz w:val="24"/>
          <w:szCs w:val="24"/>
          <w:lang w:val="ru-RU" w:eastAsia="en-US"/>
        </w:rPr>
        <w:t>4. Долгосрочные параметры регулирования деятельности  концессионера:</w:t>
      </w:r>
    </w:p>
    <w:p>
      <w:pPr>
        <w:pStyle w:val="ListParagraph"/>
        <w:ind w:left="1069" w:hanging="0"/>
        <w:jc w:val="both"/>
        <w:rPr>
          <w:rFonts w:eastAsia="Calibri" w:eastAsiaTheme="minorHAnsi"/>
          <w:sz w:val="24"/>
          <w:szCs w:val="24"/>
          <w:lang w:val="ru-RU" w:eastAsia="en-US"/>
        </w:rPr>
      </w:pPr>
      <w:r>
        <w:rPr>
          <w:rFonts w:eastAsia="Calibri" w:eastAsiaTheme="minorHAnsi"/>
          <w:sz w:val="24"/>
          <w:szCs w:val="24"/>
          <w:lang w:val="ru-RU" w:eastAsia="en-US"/>
        </w:rPr>
      </w:r>
    </w:p>
    <w:tbl>
      <w:tblPr>
        <w:tblW w:w="9660" w:type="dxa"/>
        <w:jc w:val="center"/>
        <w:tblInd w:w="0" w:type="dxa"/>
        <w:tblCellMar>
          <w:top w:w="0" w:type="dxa"/>
          <w:left w:w="108" w:type="dxa"/>
          <w:bottom w:w="0" w:type="dxa"/>
          <w:right w:w="108" w:type="dxa"/>
        </w:tblCellMar>
        <w:tblLook w:val="04a0"/>
      </w:tblPr>
      <w:tblGrid>
        <w:gridCol w:w="718"/>
        <w:gridCol w:w="2399"/>
        <w:gridCol w:w="709"/>
        <w:gridCol w:w="425"/>
        <w:gridCol w:w="368"/>
        <w:gridCol w:w="457"/>
        <w:gridCol w:w="460"/>
        <w:gridCol w:w="458"/>
        <w:gridCol w:w="459"/>
        <w:gridCol w:w="459"/>
        <w:gridCol w:w="460"/>
        <w:gridCol w:w="460"/>
        <w:gridCol w:w="459"/>
        <w:gridCol w:w="459"/>
        <w:gridCol w:w="477"/>
        <w:gridCol w:w="425"/>
        <w:gridCol w:w="8"/>
      </w:tblGrid>
      <w:tr>
        <w:trPr>
          <w:trHeight w:val="1230" w:hRule="atLeast"/>
          <w:cantSplit w:val="true"/>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b/>
                <w:b/>
                <w:bCs/>
              </w:rPr>
            </w:pPr>
            <w:r>
              <w:rPr>
                <w:rFonts w:eastAsia="Times New Roman"/>
                <w:b/>
                <w:bCs/>
              </w:rPr>
              <w:t xml:space="preserve">№ </w:t>
            </w:r>
            <w:r>
              <w:rPr>
                <w:rFonts w:eastAsia="Times New Roman"/>
                <w:b/>
                <w:bCs/>
              </w:rPr>
              <w:t>п/п</w:t>
            </w:r>
          </w:p>
        </w:tc>
        <w:tc>
          <w:tcPr>
            <w:tcW w:w="239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b/>
                <w:b/>
                <w:bCs/>
              </w:rPr>
            </w:pPr>
            <w:r>
              <w:rPr>
                <w:rFonts w:eastAsia="Times New Roman"/>
                <w:b/>
                <w:bCs/>
              </w:rPr>
              <w:t>Наименование показателей</w:t>
            </w:r>
          </w:p>
        </w:tc>
        <w:tc>
          <w:tcPr>
            <w:tcW w:w="709"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Ед. изм. / год</w:t>
            </w:r>
          </w:p>
        </w:tc>
        <w:tc>
          <w:tcPr>
            <w:tcW w:w="425"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2022</w:t>
            </w:r>
          </w:p>
        </w:tc>
        <w:tc>
          <w:tcPr>
            <w:tcW w:w="36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2023</w:t>
            </w:r>
          </w:p>
        </w:tc>
        <w:tc>
          <w:tcPr>
            <w:tcW w:w="45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2024</w:t>
            </w:r>
          </w:p>
        </w:tc>
        <w:tc>
          <w:tcPr>
            <w:tcW w:w="46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2025</w:t>
            </w:r>
          </w:p>
        </w:tc>
        <w:tc>
          <w:tcPr>
            <w:tcW w:w="45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2026</w:t>
            </w:r>
          </w:p>
        </w:tc>
        <w:tc>
          <w:tcPr>
            <w:tcW w:w="459"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2027</w:t>
            </w:r>
          </w:p>
        </w:tc>
        <w:tc>
          <w:tcPr>
            <w:tcW w:w="459"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2028</w:t>
            </w:r>
          </w:p>
        </w:tc>
        <w:tc>
          <w:tcPr>
            <w:tcW w:w="46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2029</w:t>
            </w:r>
          </w:p>
        </w:tc>
        <w:tc>
          <w:tcPr>
            <w:tcW w:w="46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2030</w:t>
            </w:r>
          </w:p>
        </w:tc>
        <w:tc>
          <w:tcPr>
            <w:tcW w:w="459"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2031</w:t>
            </w:r>
          </w:p>
        </w:tc>
        <w:tc>
          <w:tcPr>
            <w:tcW w:w="459"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2032</w:t>
            </w:r>
          </w:p>
        </w:tc>
        <w:tc>
          <w:tcPr>
            <w:tcW w:w="47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2033</w:t>
            </w:r>
          </w:p>
        </w:tc>
        <w:tc>
          <w:tcPr>
            <w:tcW w:w="425"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bCs/>
              </w:rPr>
            </w:pPr>
            <w:r>
              <w:rPr>
                <w:rFonts w:eastAsia="Times New Roman"/>
                <w:b/>
                <w:bCs/>
              </w:rPr>
              <w:t>2034</w:t>
            </w:r>
          </w:p>
        </w:tc>
        <w:tc>
          <w:tcPr>
            <w:tcW w:w="8" w:type="dxa"/>
            <w:tcBorders/>
          </w:tcPr>
          <w:p>
            <w:pPr>
              <w:pStyle w:val="Normal"/>
              <w:rPr/>
            </w:pPr>
            <w:r>
              <w:rPr/>
            </w:r>
          </w:p>
        </w:tc>
      </w:tr>
      <w:tr>
        <w:trPr>
          <w:trHeight w:val="3465" w:hRule="atLeast"/>
          <w:cantSplit w:val="true"/>
        </w:trPr>
        <w:tc>
          <w:tcPr>
            <w:tcW w:w="718"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4.1.</w:t>
            </w:r>
          </w:p>
        </w:tc>
        <w:tc>
          <w:tcPr>
            <w:tcW w:w="239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Базовый уровень операционных расходов, который устанавливается на первый год действия концессионного соглашения</w:t>
            </w:r>
          </w:p>
          <w:p>
            <w:pPr>
              <w:pStyle w:val="Normal"/>
              <w:widowControl/>
              <w:jc w:val="center"/>
              <w:rPr>
                <w:rFonts w:eastAsia="Times New Roman"/>
              </w:rPr>
            </w:pPr>
            <w:r>
              <w:rPr>
                <w:rFonts w:eastAsia="Times New Roman"/>
              </w:rPr>
              <w:t xml:space="preserve"> </w:t>
            </w:r>
            <w:r>
              <w:rPr>
                <w:rFonts w:eastAsia="Times New Roman"/>
              </w:rPr>
              <w:t xml:space="preserve">(расчет базового уровня операционных расходов в последующие годы действия концессионного соглашения осуществляется </w:t>
            </w:r>
          </w:p>
          <w:p>
            <w:pPr>
              <w:pStyle w:val="Normal"/>
              <w:widowControl/>
              <w:jc w:val="center"/>
              <w:rPr>
                <w:rFonts w:eastAsia="Times New Roman"/>
              </w:rPr>
            </w:pPr>
            <w:r>
              <w:rPr>
                <w:rFonts w:eastAsia="Times New Roman"/>
              </w:rPr>
              <w:t>в соответствии</w:t>
            </w:r>
          </w:p>
          <w:p>
            <w:pPr>
              <w:pStyle w:val="Normal"/>
              <w:widowControl/>
              <w:jc w:val="center"/>
              <w:rPr>
                <w:rFonts w:eastAsia="Times New Roman"/>
              </w:rPr>
            </w:pPr>
            <w:r>
              <w:rPr>
                <w:rFonts w:eastAsia="Times New Roman"/>
              </w:rPr>
              <w:t xml:space="preserve"> </w:t>
            </w:r>
            <w:r>
              <w:rPr>
                <w:rFonts w:eastAsia="Times New Roman"/>
              </w:rPr>
              <w:t>с законодательством Российской Федерации</w:t>
            </w:r>
          </w:p>
          <w:p>
            <w:pPr>
              <w:pStyle w:val="Normal"/>
              <w:widowControl/>
              <w:jc w:val="center"/>
              <w:rPr>
                <w:rFonts w:eastAsia="Times New Roman"/>
              </w:rPr>
            </w:pPr>
            <w:r>
              <w:rPr>
                <w:rFonts w:eastAsia="Times New Roman"/>
              </w:rPr>
              <w:t xml:space="preserve"> </w:t>
            </w:r>
            <w:r>
              <w:rPr>
                <w:rFonts w:eastAsia="Times New Roman"/>
              </w:rPr>
              <w:t>в сфере государственного регулирования цен (тарифов)</w:t>
            </w:r>
          </w:p>
        </w:tc>
        <w:tc>
          <w:tcPr>
            <w:tcW w:w="70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тыс. руб.</w:t>
            </w:r>
          </w:p>
        </w:tc>
        <w:tc>
          <w:tcPr>
            <w:tcW w:w="425" w:type="dxa"/>
            <w:tcBorders>
              <w:bottom w:val="single" w:sz="4" w:space="0" w:color="000000"/>
              <w:right w:val="single" w:sz="4" w:space="0" w:color="000000"/>
            </w:tcBorders>
            <w:shd w:color="auto" w:fill="auto" w:val="clear"/>
            <w:textDirection w:val="btLr"/>
            <w:vAlign w:val="center"/>
          </w:tcPr>
          <w:p>
            <w:pPr>
              <w:pStyle w:val="Normal"/>
              <w:widowControl/>
              <w:ind w:right="113" w:hanging="189"/>
              <w:jc w:val="center"/>
              <w:rPr>
                <w:rFonts w:eastAsia="Times New Roman"/>
              </w:rPr>
            </w:pPr>
            <w:r>
              <w:rPr>
                <w:rFonts w:eastAsia="Times New Roman"/>
              </w:rPr>
              <w:t>32 209,80</w:t>
            </w:r>
          </w:p>
        </w:tc>
        <w:tc>
          <w:tcPr>
            <w:tcW w:w="368"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57"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58"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77"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425"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х</w:t>
            </w:r>
          </w:p>
        </w:tc>
        <w:tc>
          <w:tcPr>
            <w:tcW w:w="8" w:type="dxa"/>
            <w:tcBorders/>
          </w:tcPr>
          <w:p>
            <w:pPr>
              <w:pStyle w:val="Normal"/>
              <w:rPr/>
            </w:pPr>
            <w:r>
              <w:rPr/>
            </w:r>
          </w:p>
        </w:tc>
      </w:tr>
      <w:tr>
        <w:trPr>
          <w:trHeight w:val="540" w:hRule="atLeast"/>
        </w:trPr>
        <w:tc>
          <w:tcPr>
            <w:tcW w:w="718"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4.2.</w:t>
            </w:r>
          </w:p>
        </w:tc>
        <w:tc>
          <w:tcPr>
            <w:tcW w:w="8942"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Показатели энергосбережения и энергетической эффективности</w:t>
            </w:r>
          </w:p>
        </w:tc>
      </w:tr>
      <w:tr>
        <w:trPr>
          <w:trHeight w:val="315" w:hRule="atLeast"/>
        </w:trPr>
        <w:tc>
          <w:tcPr>
            <w:tcW w:w="718"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 </w:t>
            </w:r>
          </w:p>
        </w:tc>
        <w:tc>
          <w:tcPr>
            <w:tcW w:w="2399"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в том числе:</w:t>
            </w:r>
          </w:p>
        </w:tc>
        <w:tc>
          <w:tcPr>
            <w:tcW w:w="709"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25"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368"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57"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60"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58"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59"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59"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60"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60"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59"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59"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77"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425" w:type="dxa"/>
            <w:tcBorders>
              <w:bottom w:val="single" w:sz="4" w:space="0" w:color="000000"/>
              <w:right w:val="single" w:sz="4" w:space="0" w:color="000000"/>
            </w:tcBorders>
            <w:shd w:color="auto" w:fill="auto" w:val="clear"/>
            <w:vAlign w:val="center"/>
          </w:tcPr>
          <w:p>
            <w:pPr>
              <w:pStyle w:val="Normal"/>
              <w:widowControl/>
              <w:rPr>
                <w:rFonts w:eastAsia="Times New Roman"/>
              </w:rPr>
            </w:pPr>
            <w:r>
              <w:rPr>
                <w:rFonts w:eastAsia="Times New Roman"/>
              </w:rPr>
              <w:t> </w:t>
            </w:r>
          </w:p>
        </w:tc>
        <w:tc>
          <w:tcPr>
            <w:tcW w:w="8" w:type="dxa"/>
            <w:tcBorders/>
          </w:tcPr>
          <w:p>
            <w:pPr>
              <w:pStyle w:val="Normal"/>
              <w:rPr/>
            </w:pPr>
            <w:r>
              <w:rPr/>
            </w:r>
          </w:p>
        </w:tc>
      </w:tr>
      <w:tr>
        <w:trPr>
          <w:trHeight w:val="1260" w:hRule="atLeast"/>
        </w:trPr>
        <w:tc>
          <w:tcPr>
            <w:tcW w:w="718"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4.2.1.</w:t>
            </w:r>
          </w:p>
        </w:tc>
        <w:tc>
          <w:tcPr>
            <w:tcW w:w="2399" w:type="dxa"/>
            <w:tcBorders>
              <w:bottom w:val="single" w:sz="4" w:space="0" w:color="000000"/>
              <w:right w:val="single" w:sz="4" w:space="0" w:color="000000"/>
            </w:tcBorders>
            <w:shd w:color="auto" w:fill="auto" w:val="clear"/>
            <w:vAlign w:val="center"/>
          </w:tcPr>
          <w:p>
            <w:pPr>
              <w:pStyle w:val="Normal"/>
              <w:widowControl/>
              <w:jc w:val="center"/>
              <w:rPr>
                <w:rFonts w:eastAsia="Times New Roman"/>
                <w:color w:val="000000"/>
              </w:rPr>
            </w:pPr>
            <w:r>
              <w:rPr>
                <w:rFonts w:eastAsia="Times New Roman"/>
                <w:color w:val="000000"/>
              </w:rPr>
              <w:t xml:space="preserve">Доля потерь </w:t>
            </w:r>
          </w:p>
          <w:p>
            <w:pPr>
              <w:pStyle w:val="Normal"/>
              <w:widowControl/>
              <w:jc w:val="center"/>
              <w:rPr>
                <w:rFonts w:eastAsia="Times New Roman"/>
                <w:color w:val="000000"/>
              </w:rPr>
            </w:pPr>
            <w:r>
              <w:rPr>
                <w:rFonts w:eastAsia="Times New Roman"/>
                <w:color w:val="000000"/>
              </w:rPr>
              <w:t>воды в централизованных системах водоснабжения при транспортировке</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в общем объеме воды, поданной</w:t>
            </w:r>
          </w:p>
          <w:p>
            <w:pPr>
              <w:pStyle w:val="Normal"/>
              <w:widowControl/>
              <w:jc w:val="center"/>
              <w:rPr>
                <w:rFonts w:eastAsia="Times New Roman"/>
                <w:color w:val="000000"/>
              </w:rPr>
            </w:pPr>
            <w:r>
              <w:rPr>
                <w:rFonts w:eastAsia="Times New Roman"/>
                <w:color w:val="000000"/>
              </w:rPr>
              <w:t xml:space="preserve"> </w:t>
            </w:r>
            <w:r>
              <w:rPr>
                <w:rFonts w:eastAsia="Times New Roman"/>
                <w:color w:val="000000"/>
              </w:rPr>
              <w:t>в водопроводную сеть</w:t>
            </w:r>
          </w:p>
        </w:tc>
        <w:tc>
          <w:tcPr>
            <w:tcW w:w="70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25"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368"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57"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58"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77"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425"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0</w:t>
            </w:r>
          </w:p>
        </w:tc>
        <w:tc>
          <w:tcPr>
            <w:tcW w:w="8" w:type="dxa"/>
            <w:tcBorders/>
          </w:tcPr>
          <w:p>
            <w:pPr>
              <w:pStyle w:val="Normal"/>
              <w:rPr/>
            </w:pPr>
            <w:r>
              <w:rPr/>
            </w:r>
          </w:p>
        </w:tc>
      </w:tr>
      <w:tr>
        <w:trPr>
          <w:trHeight w:val="1650" w:hRule="atLeast"/>
        </w:trPr>
        <w:tc>
          <w:tcPr>
            <w:tcW w:w="718"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4.2.2.</w:t>
            </w:r>
          </w:p>
        </w:tc>
        <w:tc>
          <w:tcPr>
            <w:tcW w:w="2399" w:type="dxa"/>
            <w:tcBorders>
              <w:bottom w:val="single" w:sz="4" w:space="0" w:color="000000"/>
              <w:right w:val="single" w:sz="4" w:space="0" w:color="000000"/>
            </w:tcBorders>
            <w:shd w:color="auto" w:fill="auto" w:val="clear"/>
            <w:vAlign w:val="center"/>
          </w:tcPr>
          <w:p>
            <w:pPr>
              <w:pStyle w:val="Normal"/>
              <w:widowControl/>
              <w:jc w:val="center"/>
              <w:rPr>
                <w:rFonts w:eastAsia="Times New Roman"/>
                <w:color w:val="000000"/>
              </w:rPr>
            </w:pPr>
            <w:r>
              <w:rPr>
                <w:rFonts w:eastAsia="Times New Roman"/>
                <w:color w:val="000000"/>
              </w:rPr>
              <w:t xml:space="preserve">Удельный расход электрической энергии, потребляемой </w:t>
            </w:r>
          </w:p>
          <w:p>
            <w:pPr>
              <w:pStyle w:val="Normal"/>
              <w:widowControl/>
              <w:jc w:val="center"/>
              <w:rPr>
                <w:rFonts w:eastAsia="Times New Roman"/>
                <w:color w:val="000000"/>
              </w:rPr>
            </w:pPr>
            <w:r>
              <w:rPr>
                <w:rFonts w:eastAsia="Times New Roman"/>
                <w:color w:val="000000"/>
              </w:rPr>
              <w:t xml:space="preserve">в технологическом процессе подготовки питьевой воды, </w:t>
            </w:r>
          </w:p>
          <w:p>
            <w:pPr>
              <w:pStyle w:val="Normal"/>
              <w:widowControl/>
              <w:jc w:val="center"/>
              <w:rPr>
                <w:rFonts w:eastAsia="Times New Roman"/>
                <w:color w:val="000000"/>
              </w:rPr>
            </w:pPr>
            <w:r>
              <w:rPr>
                <w:rFonts w:eastAsia="Times New Roman"/>
                <w:color w:val="000000"/>
              </w:rPr>
              <w:t xml:space="preserve">на единицу объема  воды, отпускаемой </w:t>
            </w:r>
          </w:p>
          <w:p>
            <w:pPr>
              <w:pStyle w:val="Normal"/>
              <w:widowControl/>
              <w:jc w:val="center"/>
              <w:rPr>
                <w:rFonts w:eastAsia="Times New Roman"/>
                <w:color w:val="000000"/>
              </w:rPr>
            </w:pPr>
            <w:r>
              <w:rPr>
                <w:rFonts w:eastAsia="Times New Roman"/>
                <w:color w:val="000000"/>
              </w:rPr>
              <w:t>в сеть</w:t>
            </w:r>
          </w:p>
        </w:tc>
        <w:tc>
          <w:tcPr>
            <w:tcW w:w="70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кВт.ч/м3</w:t>
            </w:r>
          </w:p>
        </w:tc>
        <w:tc>
          <w:tcPr>
            <w:tcW w:w="425"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368"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7"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8"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60"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77"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25" w:type="dxa"/>
            <w:tcBorders>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8" w:type="dxa"/>
            <w:tcBorders/>
          </w:tcPr>
          <w:p>
            <w:pPr>
              <w:pStyle w:val="Normal"/>
              <w:rPr/>
            </w:pPr>
            <w:r>
              <w:rPr/>
            </w:r>
          </w:p>
        </w:tc>
      </w:tr>
      <w:tr>
        <w:trPr>
          <w:trHeight w:val="1740"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4.2.3.</w:t>
            </w:r>
          </w:p>
        </w:tc>
        <w:tc>
          <w:tcPr>
            <w:tcW w:w="23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color w:val="000000"/>
              </w:rPr>
            </w:pPr>
            <w:r>
              <w:rPr>
                <w:rFonts w:eastAsia="Times New Roman"/>
                <w:color w:val="000000"/>
              </w:rPr>
              <w:t xml:space="preserve">Удельный расход электрической энергии, потребляемой </w:t>
            </w:r>
          </w:p>
          <w:p>
            <w:pPr>
              <w:pStyle w:val="Normal"/>
              <w:widowControl/>
              <w:jc w:val="center"/>
              <w:rPr>
                <w:rFonts w:eastAsia="Times New Roman"/>
                <w:color w:val="000000"/>
              </w:rPr>
            </w:pPr>
            <w:r>
              <w:rPr>
                <w:rFonts w:eastAsia="Times New Roman"/>
                <w:color w:val="000000"/>
              </w:rPr>
              <w:t>в технологическом процессе транспортировки питьевой воды, на единицу объема транспортируемой воды</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кВт.ч/м4</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3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8" w:type="dxa"/>
            <w:tcBorders/>
          </w:tcPr>
          <w:p>
            <w:pPr>
              <w:pStyle w:val="Normal"/>
              <w:rPr/>
            </w:pPr>
            <w:r>
              <w:rPr/>
            </w:r>
          </w:p>
        </w:tc>
      </w:tr>
      <w:tr>
        <w:trPr>
          <w:trHeight w:val="720"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4.3.</w:t>
            </w:r>
          </w:p>
        </w:tc>
        <w:tc>
          <w:tcPr>
            <w:tcW w:w="239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Нормативный уровень прибыли</w:t>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w:t>
            </w:r>
          </w:p>
        </w:tc>
        <w:tc>
          <w:tcPr>
            <w:tcW w:w="425"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368"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57"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60"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58"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5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5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60"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60"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5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59"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77"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425"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rPr>
            </w:pPr>
            <w:r>
              <w:rPr>
                <w:rFonts w:eastAsia="Times New Roman"/>
              </w:rPr>
              <w:t>1</w:t>
            </w:r>
          </w:p>
        </w:tc>
        <w:tc>
          <w:tcPr>
            <w:tcW w:w="8" w:type="dxa"/>
            <w:tcBorders/>
          </w:tcPr>
          <w:p>
            <w:pPr>
              <w:pStyle w:val="Normal"/>
              <w:rPr/>
            </w:pPr>
            <w:r>
              <w:rPr/>
            </w:r>
          </w:p>
        </w:tc>
      </w:tr>
    </w:tbl>
    <w:p>
      <w:pPr>
        <w:pStyle w:val="Normal"/>
        <w:ind w:left="710" w:hanging="0"/>
        <w:jc w:val="both"/>
        <w:rPr>
          <w:rFonts w:eastAsia="Calibri" w:eastAsiaTheme="minorHAnsi"/>
          <w:sz w:val="24"/>
          <w:szCs w:val="24"/>
          <w:lang w:eastAsia="en-US"/>
        </w:rPr>
      </w:pPr>
      <w:r>
        <w:rPr>
          <w:rFonts w:eastAsia="Calibri" w:eastAsiaTheme="minorHAnsi"/>
          <w:sz w:val="24"/>
          <w:szCs w:val="24"/>
          <w:lang w:eastAsia="en-US"/>
        </w:rPr>
      </w:r>
    </w:p>
    <w:p>
      <w:pPr>
        <w:pStyle w:val="Normal"/>
        <w:ind w:left="710" w:hanging="0"/>
        <w:jc w:val="both"/>
        <w:rPr>
          <w:rFonts w:eastAsia="Calibri" w:eastAsiaTheme="minorHAnsi"/>
          <w:sz w:val="24"/>
          <w:szCs w:val="24"/>
          <w:lang w:eastAsia="en-US"/>
        </w:rPr>
      </w:pPr>
      <w:r>
        <w:rPr>
          <w:rFonts w:eastAsia="Calibri" w:eastAsiaTheme="minorHAnsi"/>
          <w:sz w:val="24"/>
          <w:szCs w:val="24"/>
          <w:lang w:eastAsia="en-US"/>
        </w:rPr>
      </w:r>
    </w:p>
    <w:p>
      <w:pPr>
        <w:pStyle w:val="Normal"/>
        <w:ind w:left="710" w:hanging="0"/>
        <w:jc w:val="both"/>
        <w:rPr>
          <w:rFonts w:eastAsia="Calibri" w:eastAsiaTheme="minorHAnsi"/>
          <w:sz w:val="24"/>
          <w:szCs w:val="24"/>
          <w:lang w:eastAsia="en-US"/>
        </w:rPr>
      </w:pPr>
      <w:r>
        <w:rPr>
          <w:rFonts w:eastAsia="Calibri" w:eastAsiaTheme="minorHAnsi"/>
          <w:sz w:val="24"/>
          <w:szCs w:val="24"/>
          <w:lang w:eastAsia="en-US"/>
        </w:rPr>
      </w:r>
    </w:p>
    <w:p>
      <w:pPr>
        <w:pStyle w:val="Normal"/>
        <w:jc w:val="center"/>
        <w:rPr>
          <w:rFonts w:eastAsia="Calibri" w:eastAsiaTheme="minorHAnsi"/>
          <w:sz w:val="24"/>
          <w:szCs w:val="24"/>
          <w:lang w:eastAsia="en-US"/>
        </w:rPr>
      </w:pPr>
      <w:r>
        <w:rPr>
          <w:rFonts w:eastAsia="Calibri" w:eastAsiaTheme="minorHAnsi"/>
          <w:sz w:val="24"/>
          <w:szCs w:val="24"/>
          <w:lang w:eastAsia="en-US"/>
        </w:rPr>
        <w:t xml:space="preserve">5. Плановые значения показателей деятельности концессионера: </w:t>
      </w:r>
    </w:p>
    <w:p>
      <w:pPr>
        <w:pStyle w:val="Normal"/>
        <w:jc w:val="center"/>
        <w:rPr>
          <w:rFonts w:eastAsia="Calibri" w:eastAsiaTheme="minorHAnsi"/>
          <w:sz w:val="24"/>
          <w:szCs w:val="24"/>
          <w:lang w:eastAsia="en-US"/>
        </w:rPr>
      </w:pPr>
      <w:r>
        <w:rPr>
          <w:rFonts w:eastAsia="Calibri" w:eastAsiaTheme="minorHAnsi"/>
          <w:sz w:val="24"/>
          <w:szCs w:val="24"/>
          <w:lang w:eastAsia="en-US"/>
        </w:rPr>
      </w:r>
    </w:p>
    <w:tbl>
      <w:tblPr>
        <w:tblW w:w="9945" w:type="dxa"/>
        <w:jc w:val="left"/>
        <w:tblInd w:w="0" w:type="dxa"/>
        <w:tblCellMar>
          <w:top w:w="0" w:type="dxa"/>
          <w:left w:w="108" w:type="dxa"/>
          <w:bottom w:w="0" w:type="dxa"/>
          <w:right w:w="108" w:type="dxa"/>
        </w:tblCellMar>
        <w:tblLook w:val="04a0"/>
      </w:tblPr>
      <w:tblGrid>
        <w:gridCol w:w="474"/>
        <w:gridCol w:w="2241"/>
        <w:gridCol w:w="567"/>
        <w:gridCol w:w="397"/>
        <w:gridCol w:w="28"/>
        <w:gridCol w:w="474"/>
        <w:gridCol w:w="28"/>
        <w:gridCol w:w="464"/>
        <w:gridCol w:w="77"/>
        <w:gridCol w:w="511"/>
        <w:gridCol w:w="19"/>
        <w:gridCol w:w="564"/>
        <w:gridCol w:w="40"/>
        <w:gridCol w:w="492"/>
        <w:gridCol w:w="40"/>
        <w:gridCol w:w="462"/>
        <w:gridCol w:w="69"/>
        <w:gridCol w:w="377"/>
        <w:gridCol w:w="150"/>
        <w:gridCol w:w="538"/>
        <w:gridCol w:w="436"/>
        <w:gridCol w:w="17"/>
        <w:gridCol w:w="37"/>
        <w:gridCol w:w="440"/>
        <w:gridCol w:w="36"/>
        <w:gridCol w:w="27"/>
        <w:gridCol w:w="345"/>
        <w:gridCol w:w="73"/>
        <w:gridCol w:w="17"/>
        <w:gridCol w:w="502"/>
      </w:tblGrid>
      <w:tr>
        <w:trPr>
          <w:trHeight w:val="1134" w:hRule="atLeast"/>
          <w:cantSplit w:val="true"/>
        </w:trPr>
        <w:tc>
          <w:tcPr>
            <w:tcW w:w="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b/>
                <w:b/>
                <w:sz w:val="18"/>
                <w:szCs w:val="18"/>
              </w:rPr>
            </w:pPr>
            <w:r>
              <w:rPr>
                <w:rFonts w:eastAsia="Times New Roman"/>
                <w:b/>
                <w:sz w:val="18"/>
                <w:szCs w:val="18"/>
              </w:rPr>
              <w:t xml:space="preserve">№ </w:t>
            </w:r>
            <w:r>
              <w:rPr>
                <w:rFonts w:eastAsia="Times New Roman"/>
                <w:b/>
                <w:sz w:val="18"/>
                <w:szCs w:val="18"/>
              </w:rPr>
              <w:t>п/п</w:t>
            </w:r>
          </w:p>
        </w:tc>
        <w:tc>
          <w:tcPr>
            <w:tcW w:w="2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b/>
                <w:b/>
                <w:sz w:val="18"/>
                <w:szCs w:val="18"/>
              </w:rPr>
            </w:pPr>
            <w:r>
              <w:rPr>
                <w:rFonts w:eastAsia="Times New Roman"/>
                <w:b/>
                <w:sz w:val="18"/>
                <w:szCs w:val="18"/>
              </w:rPr>
              <w:t>Наименование показателей</w:t>
            </w:r>
          </w:p>
        </w:tc>
        <w:tc>
          <w:tcPr>
            <w:tcW w:w="567"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Ед. изм.</w:t>
            </w:r>
          </w:p>
        </w:tc>
        <w:tc>
          <w:tcPr>
            <w:tcW w:w="425"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2022</w:t>
            </w:r>
          </w:p>
        </w:tc>
        <w:tc>
          <w:tcPr>
            <w:tcW w:w="47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2023</w:t>
            </w:r>
          </w:p>
        </w:tc>
        <w:tc>
          <w:tcPr>
            <w:tcW w:w="49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2024</w:t>
            </w:r>
          </w:p>
        </w:tc>
        <w:tc>
          <w:tcPr>
            <w:tcW w:w="58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2025</w:t>
            </w:r>
          </w:p>
        </w:tc>
        <w:tc>
          <w:tcPr>
            <w:tcW w:w="583"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2026</w:t>
            </w:r>
          </w:p>
        </w:tc>
        <w:tc>
          <w:tcPr>
            <w:tcW w:w="53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2027</w:t>
            </w:r>
          </w:p>
        </w:tc>
        <w:tc>
          <w:tcPr>
            <w:tcW w:w="50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2028</w:t>
            </w:r>
          </w:p>
        </w:tc>
        <w:tc>
          <w:tcPr>
            <w:tcW w:w="44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2029</w:t>
            </w:r>
          </w:p>
        </w:tc>
        <w:tc>
          <w:tcPr>
            <w:tcW w:w="68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2030</w:t>
            </w:r>
          </w:p>
        </w:tc>
        <w:tc>
          <w:tcPr>
            <w:tcW w:w="490"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2031</w:t>
            </w:r>
          </w:p>
        </w:tc>
        <w:tc>
          <w:tcPr>
            <w:tcW w:w="47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2032</w:t>
            </w:r>
          </w:p>
        </w:tc>
        <w:tc>
          <w:tcPr>
            <w:tcW w:w="445"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2033</w:t>
            </w:r>
          </w:p>
        </w:tc>
        <w:tc>
          <w:tcPr>
            <w:tcW w:w="519"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2034</w:t>
            </w:r>
          </w:p>
        </w:tc>
      </w:tr>
      <w:tr>
        <w:trPr>
          <w:trHeight w:val="540" w:hRule="atLeast"/>
        </w:trPr>
        <w:tc>
          <w:tcPr>
            <w:tcW w:w="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9468" w:type="dxa"/>
            <w:gridSpan w:val="2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sz w:val="18"/>
                <w:szCs w:val="18"/>
              </w:rPr>
            </w:pPr>
            <w:r>
              <w:rPr>
                <w:rFonts w:eastAsia="Times New Roman"/>
                <w:sz w:val="18"/>
                <w:szCs w:val="18"/>
              </w:rPr>
              <w:t>Показатели качества питьевой воды:</w:t>
            </w:r>
          </w:p>
        </w:tc>
      </w:tr>
      <w:tr>
        <w:trPr>
          <w:trHeight w:val="1920" w:hRule="atLeast"/>
        </w:trPr>
        <w:tc>
          <w:tcPr>
            <w:tcW w:w="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r>
          </w:p>
        </w:tc>
        <w:tc>
          <w:tcPr>
            <w:tcW w:w="2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Доля проб питьевой воды в распределительной водопроводной сети,</w:t>
            </w:r>
          </w:p>
          <w:p>
            <w:pPr>
              <w:pStyle w:val="Normal"/>
              <w:widowControl/>
              <w:jc w:val="center"/>
              <w:rPr>
                <w:rFonts w:eastAsia="Times New Roman"/>
                <w:sz w:val="18"/>
                <w:szCs w:val="18"/>
              </w:rPr>
            </w:pPr>
            <w:r>
              <w:rPr>
                <w:rFonts w:eastAsia="Times New Roman"/>
                <w:sz w:val="18"/>
                <w:szCs w:val="18"/>
              </w:rPr>
              <w:t>не соответствующих установленным требованиям, в общем объеме проб, отобранных по результатам производственного контроля качества воды</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color w:val="000000"/>
                <w:sz w:val="18"/>
                <w:szCs w:val="18"/>
              </w:rPr>
            </w:pPr>
            <w:r>
              <w:rPr>
                <w:rFonts w:eastAsia="Times New Roman"/>
                <w:color w:val="000000"/>
                <w:sz w:val="18"/>
                <w:szCs w:val="18"/>
              </w:rPr>
              <w:t>%</w:t>
            </w:r>
          </w:p>
        </w:tc>
        <w:tc>
          <w:tcPr>
            <w:tcW w:w="3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6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2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4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47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40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r>
      <w:tr>
        <w:trPr>
          <w:trHeight w:val="540" w:hRule="atLeast"/>
        </w:trPr>
        <w:tc>
          <w:tcPr>
            <w:tcW w:w="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2.</w:t>
            </w:r>
          </w:p>
        </w:tc>
        <w:tc>
          <w:tcPr>
            <w:tcW w:w="9468" w:type="dxa"/>
            <w:gridSpan w:val="2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sz w:val="18"/>
                <w:szCs w:val="18"/>
              </w:rPr>
            </w:pPr>
            <w:r>
              <w:rPr>
                <w:rFonts w:eastAsia="Times New Roman"/>
                <w:sz w:val="18"/>
                <w:szCs w:val="18"/>
              </w:rPr>
              <w:t>Показатели надежности и бесперебойности холодного водоснабжения</w:t>
            </w:r>
          </w:p>
        </w:tc>
      </w:tr>
      <w:tr>
        <w:trPr>
          <w:trHeight w:val="2220" w:hRule="atLeast"/>
          <w:cantSplit w:val="true"/>
        </w:trPr>
        <w:tc>
          <w:tcPr>
            <w:tcW w:w="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 </w:t>
            </w:r>
          </w:p>
        </w:tc>
        <w:tc>
          <w:tcPr>
            <w:tcW w:w="2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 xml:space="preserve">Количество перерывов </w:t>
            </w:r>
          </w:p>
          <w:p>
            <w:pPr>
              <w:pStyle w:val="Normal"/>
              <w:widowControl/>
              <w:jc w:val="center"/>
              <w:rPr>
                <w:rFonts w:eastAsia="Times New Roman"/>
                <w:sz w:val="18"/>
                <w:szCs w:val="18"/>
              </w:rPr>
            </w:pPr>
            <w:r>
              <w:rPr>
                <w:rFonts w:eastAsia="Times New Roman"/>
                <w:sz w:val="18"/>
                <w:szCs w:val="18"/>
              </w:rPr>
              <w:t xml:space="preserve"> </w:t>
            </w:r>
            <w:r>
              <w:rPr>
                <w:rFonts w:eastAsia="Times New Roman"/>
                <w:sz w:val="18"/>
                <w:szCs w:val="18"/>
              </w:rPr>
              <w:t>в подаче воды, зафиксированных в местах исполнения обязательств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ед./км</w:t>
            </w:r>
          </w:p>
        </w:tc>
        <w:tc>
          <w:tcPr>
            <w:tcW w:w="397"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0,64</w:t>
            </w:r>
          </w:p>
        </w:tc>
        <w:tc>
          <w:tcPr>
            <w:tcW w:w="530"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0,63</w:t>
            </w:r>
          </w:p>
        </w:tc>
        <w:tc>
          <w:tcPr>
            <w:tcW w:w="541"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0,63</w:t>
            </w:r>
          </w:p>
        </w:tc>
        <w:tc>
          <w:tcPr>
            <w:tcW w:w="530"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0,62</w:t>
            </w:r>
          </w:p>
        </w:tc>
        <w:tc>
          <w:tcPr>
            <w:tcW w:w="604"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0,62</w:t>
            </w:r>
          </w:p>
        </w:tc>
        <w:tc>
          <w:tcPr>
            <w:tcW w:w="532"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0,61</w:t>
            </w:r>
          </w:p>
        </w:tc>
        <w:tc>
          <w:tcPr>
            <w:tcW w:w="531"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0,61</w:t>
            </w:r>
          </w:p>
        </w:tc>
        <w:tc>
          <w:tcPr>
            <w:tcW w:w="527"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0,60</w:t>
            </w:r>
          </w:p>
        </w:tc>
        <w:tc>
          <w:tcPr>
            <w:tcW w:w="53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0,60</w:t>
            </w:r>
          </w:p>
        </w:tc>
        <w:tc>
          <w:tcPr>
            <w:tcW w:w="436"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0,59</w:t>
            </w:r>
          </w:p>
        </w:tc>
        <w:tc>
          <w:tcPr>
            <w:tcW w:w="557" w:type="dxa"/>
            <w:gridSpan w:val="5"/>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0,59</w:t>
            </w:r>
          </w:p>
        </w:tc>
        <w:tc>
          <w:tcPr>
            <w:tcW w:w="435"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0,58</w:t>
            </w:r>
          </w:p>
        </w:tc>
        <w:tc>
          <w:tcPr>
            <w:tcW w:w="502"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0,58</w:t>
            </w:r>
          </w:p>
        </w:tc>
      </w:tr>
    </w:tbl>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6. Плата концедента – 0,00 руб.</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jc w:val="right"/>
        <w:rPr>
          <w:color w:val="000000" w:themeColor="text1"/>
          <w:spacing w:val="1"/>
          <w:sz w:val="24"/>
          <w:szCs w:val="24"/>
        </w:rPr>
      </w:pPr>
      <w:r>
        <w:rPr>
          <w:color w:val="000000" w:themeColor="text1"/>
          <w:spacing w:val="1"/>
          <w:sz w:val="24"/>
          <w:szCs w:val="24"/>
        </w:rPr>
        <w:t xml:space="preserve">Приложение № 4 </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08.04.2022  №  629</w:t>
      </w:r>
    </w:p>
    <w:p>
      <w:pPr>
        <w:pStyle w:val="Normal"/>
        <w:tabs>
          <w:tab w:val="clear" w:pos="708"/>
          <w:tab w:val="left" w:pos="7538"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ListParagraph"/>
        <w:ind w:left="1069" w:hanging="0"/>
        <w:jc w:val="right"/>
        <w:rPr>
          <w:color w:val="000000" w:themeColor="text1"/>
          <w:spacing w:val="1"/>
          <w:sz w:val="24"/>
          <w:szCs w:val="24"/>
          <w:lang w:val="ru-RU"/>
        </w:rPr>
      </w:pPr>
      <w:r>
        <w:rPr>
          <w:color w:val="000000" w:themeColor="text1"/>
          <w:spacing w:val="1"/>
          <w:sz w:val="24"/>
          <w:szCs w:val="24"/>
          <w:lang w:val="ru-RU"/>
        </w:rPr>
      </w:r>
    </w:p>
    <w:p>
      <w:pPr>
        <w:pStyle w:val="ListParagraph"/>
        <w:widowControl w:val="false"/>
        <w:tabs>
          <w:tab w:val="clear" w:pos="708"/>
          <w:tab w:val="left" w:pos="3779" w:leader="none"/>
        </w:tabs>
        <w:ind w:left="0" w:hanging="0"/>
        <w:jc w:val="center"/>
        <w:rPr>
          <w:b/>
          <w:b/>
          <w:color w:val="000000" w:themeColor="text1"/>
          <w:spacing w:val="1"/>
          <w:sz w:val="24"/>
          <w:szCs w:val="24"/>
          <w:lang w:val="ru-RU"/>
        </w:rPr>
      </w:pPr>
      <w:r>
        <w:rPr>
          <w:b/>
          <w:color w:val="000000" w:themeColor="text1"/>
          <w:spacing w:val="1"/>
          <w:sz w:val="24"/>
          <w:szCs w:val="24"/>
          <w:lang w:val="ru-RU"/>
        </w:rPr>
        <w:t xml:space="preserve">Основные мероприятия и минимально допустимые плановые значения </w:t>
      </w:r>
    </w:p>
    <w:p>
      <w:pPr>
        <w:pStyle w:val="ListParagraph"/>
        <w:widowControl w:val="false"/>
        <w:tabs>
          <w:tab w:val="clear" w:pos="708"/>
          <w:tab w:val="left" w:pos="3779" w:leader="none"/>
        </w:tabs>
        <w:ind w:left="0" w:hanging="0"/>
        <w:jc w:val="center"/>
        <w:rPr>
          <w:b/>
          <w:b/>
          <w:color w:val="000000" w:themeColor="text1"/>
          <w:spacing w:val="1"/>
          <w:sz w:val="24"/>
          <w:szCs w:val="24"/>
          <w:lang w:val="ru-RU"/>
        </w:rPr>
      </w:pPr>
      <w:r>
        <w:rPr>
          <w:b/>
          <w:color w:val="000000" w:themeColor="text1"/>
          <w:spacing w:val="1"/>
          <w:sz w:val="24"/>
          <w:szCs w:val="24"/>
          <w:lang w:val="ru-RU"/>
        </w:rPr>
        <w:t xml:space="preserve">показателей деятельности концессионера </w:t>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709" w:hanging="0"/>
        <w:contextualSpacing/>
        <w:jc w:val="both"/>
        <w:rPr>
          <w:color w:val="000000" w:themeColor="text1"/>
          <w:spacing w:val="1"/>
          <w:sz w:val="24"/>
          <w:szCs w:val="24"/>
          <w:lang w:val="ru-RU"/>
        </w:rPr>
      </w:pPr>
      <w:r>
        <w:rPr>
          <w:color w:val="000000" w:themeColor="text1"/>
          <w:spacing w:val="1"/>
          <w:sz w:val="24"/>
          <w:szCs w:val="24"/>
          <w:lang w:val="ru-RU"/>
        </w:rPr>
        <w:t>1. Задание и основные мероприятия:</w:t>
      </w:r>
    </w:p>
    <w:p>
      <w:pPr>
        <w:pStyle w:val="Normal"/>
        <w:ind w:firstLine="709"/>
        <w:jc w:val="both"/>
        <w:rPr>
          <w:sz w:val="24"/>
          <w:szCs w:val="24"/>
        </w:rPr>
      </w:pPr>
      <w:r>
        <w:rPr>
          <w:color w:val="000000" w:themeColor="text1"/>
          <w:spacing w:val="1"/>
          <w:sz w:val="24"/>
          <w:szCs w:val="24"/>
        </w:rPr>
        <w:t xml:space="preserve">Настоящее задание сформировано на основании Схемы водоснабжения и водоотведения, утвержденной </w:t>
      </w:r>
      <w:r>
        <w:rPr>
          <w:sz w:val="24"/>
          <w:szCs w:val="24"/>
        </w:rPr>
        <w:t>постановлением Администрации города Шарыпово                            от 17.03.2014  № 59 «Об утверждении схемы водоснабжения и водоотведения на период                            с 2013 до 2034 годов муниципального образования «город Шарыпово                                   Красноярского края».</w:t>
      </w:r>
    </w:p>
    <w:p>
      <w:pPr>
        <w:pStyle w:val="Normal"/>
        <w:ind w:firstLine="709"/>
        <w:jc w:val="both"/>
        <w:rPr>
          <w:sz w:val="24"/>
          <w:szCs w:val="24"/>
        </w:rPr>
      </w:pPr>
      <w:r>
        <w:rPr>
          <w:sz w:val="24"/>
          <w:szCs w:val="24"/>
        </w:rPr>
        <w:t>Качество питьевой воды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w:t>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t>В ходе реализации концессионного соглашения Концессинер обязан выполнить мероприятия, в результате которых будут достигнуты следующие показатели:</w:t>
      </w:r>
    </w:p>
    <w:p>
      <w:pPr>
        <w:pStyle w:val="ListParagraph"/>
        <w:widowControl w:val="false"/>
        <w:spacing w:before="0" w:after="0"/>
        <w:ind w:left="0" w:firstLine="709"/>
        <w:contextualSpacing/>
        <w:jc w:val="both"/>
        <w:rPr>
          <w:sz w:val="24"/>
          <w:szCs w:val="24"/>
          <w:lang w:val="ru-RU"/>
        </w:rPr>
      </w:pPr>
      <w:r>
        <w:rPr>
          <w:sz w:val="24"/>
          <w:szCs w:val="24"/>
          <w:lang w:val="ru-RU"/>
        </w:rPr>
        <w:t>1) Снижение до 1% количества проб питьевой воды, в распределительной сети,                     не соответствующих установленным требованиям качества питьевой воды, в общем объеме проб, отобранных по результатам производственной программы контроля качества питьевой воды.</w:t>
      </w:r>
    </w:p>
    <w:p>
      <w:pPr>
        <w:pStyle w:val="ListParagraph"/>
        <w:widowControl w:val="false"/>
        <w:spacing w:before="0" w:after="0"/>
        <w:ind w:left="0" w:firstLine="709"/>
        <w:contextualSpacing/>
        <w:jc w:val="both"/>
        <w:rPr>
          <w:sz w:val="24"/>
          <w:szCs w:val="24"/>
          <w:lang w:val="ru-RU"/>
        </w:rPr>
      </w:pPr>
      <w:r>
        <w:rPr>
          <w:sz w:val="24"/>
          <w:szCs w:val="24"/>
          <w:lang w:val="ru-RU"/>
        </w:rPr>
        <w:t>2) Снижение количества перерывов в подаче воды, возникших в результате аварий и других технологических нарушений (бесперебойность) до показателя 0.58 (ед/км.)                         к 2034 г.</w:t>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tab/>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spacing w:before="0" w:after="0"/>
        <w:ind w:left="0" w:firstLine="709"/>
        <w:contextualSpacing/>
        <w:jc w:val="both"/>
        <w:rPr>
          <w:color w:val="000000" w:themeColor="text1"/>
          <w:spacing w:val="1"/>
          <w:sz w:val="24"/>
          <w:szCs w:val="24"/>
          <w:lang w:val="ru-RU"/>
        </w:rPr>
      </w:pPr>
      <w:r>
        <w:rPr>
          <w:color w:val="000000" w:themeColor="text1"/>
          <w:spacing w:val="1"/>
          <w:sz w:val="24"/>
          <w:szCs w:val="24"/>
          <w:lang w:val="ru-RU"/>
        </w:rPr>
      </w:r>
    </w:p>
    <w:p>
      <w:pPr>
        <w:pStyle w:val="ListParagraph"/>
        <w:ind w:left="0" w:firstLine="709"/>
        <w:jc w:val="both"/>
        <w:rPr>
          <w:color w:val="000000" w:themeColor="text1"/>
          <w:spacing w:val="1"/>
          <w:sz w:val="24"/>
          <w:szCs w:val="24"/>
          <w:lang w:val="ru-RU"/>
        </w:rPr>
      </w:pPr>
      <w:r>
        <w:rPr>
          <w:color w:val="000000" w:themeColor="text1"/>
          <w:spacing w:val="1"/>
          <w:sz w:val="24"/>
          <w:szCs w:val="24"/>
          <w:lang w:val="ru-RU"/>
        </w:rPr>
        <w:t xml:space="preserve">Основные мероприятия по реконструкции сетей холодного водоснабжения муниципального образования </w:t>
      </w:r>
      <w:r>
        <w:rPr>
          <w:bCs/>
          <w:sz w:val="24"/>
          <w:szCs w:val="24"/>
          <w:lang w:val="ru-RU"/>
        </w:rPr>
        <w:t>«городской округ город Шарыпово Красноярского края»</w:t>
      </w:r>
      <w:r>
        <w:rPr>
          <w:color w:val="000000" w:themeColor="text1"/>
          <w:spacing w:val="1"/>
          <w:sz w:val="24"/>
          <w:szCs w:val="24"/>
          <w:lang w:val="ru-RU"/>
        </w:rPr>
        <w:t xml:space="preserve">                                                   с разбивкой по годам:</w:t>
      </w:r>
    </w:p>
    <w:p>
      <w:pPr>
        <w:pStyle w:val="ListParagraph"/>
        <w:ind w:left="0" w:firstLine="709"/>
        <w:jc w:val="both"/>
        <w:rPr>
          <w:color w:val="000000" w:themeColor="text1"/>
          <w:spacing w:val="1"/>
          <w:sz w:val="24"/>
          <w:szCs w:val="24"/>
          <w:lang w:val="ru-RU"/>
        </w:rPr>
      </w:pPr>
      <w:r>
        <w:rPr>
          <w:color w:val="000000" w:themeColor="text1"/>
          <w:spacing w:val="1"/>
          <w:sz w:val="24"/>
          <w:szCs w:val="24"/>
          <w:lang w:val="ru-RU"/>
        </w:rPr>
      </w:r>
    </w:p>
    <w:tbl>
      <w:tblPr>
        <w:tblW w:w="10496" w:type="dxa"/>
        <w:jc w:val="left"/>
        <w:tblInd w:w="-601" w:type="dxa"/>
        <w:tblCellMar>
          <w:top w:w="0" w:type="dxa"/>
          <w:left w:w="108" w:type="dxa"/>
          <w:bottom w:w="0" w:type="dxa"/>
          <w:right w:w="108" w:type="dxa"/>
        </w:tblCellMar>
        <w:tblLook w:val="04a0"/>
      </w:tblPr>
      <w:tblGrid>
        <w:gridCol w:w="432"/>
        <w:gridCol w:w="1268"/>
        <w:gridCol w:w="1560"/>
        <w:gridCol w:w="1274"/>
        <w:gridCol w:w="1132"/>
        <w:gridCol w:w="853"/>
        <w:gridCol w:w="988"/>
        <w:gridCol w:w="711"/>
        <w:gridCol w:w="714"/>
        <w:gridCol w:w="990"/>
        <w:gridCol w:w="567"/>
        <w:gridCol w:w="6"/>
      </w:tblGrid>
      <w:tr>
        <w:trPr>
          <w:trHeight w:val="525"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п/п</w:t>
            </w:r>
          </w:p>
        </w:tc>
        <w:tc>
          <w:tcPr>
            <w:tcW w:w="1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Наименование мероприятия</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Обоснование необходимости (цель реализации мероприятия)</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Описание и место расположения (наименование населенного пункта, улица и т.п.)</w:t>
            </w:r>
          </w:p>
        </w:tc>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Мероприятия, указанные в схеме водоснабжения муниципального образования "городской округ город Шарыпово Красноярского края"</w:t>
            </w:r>
          </w:p>
        </w:tc>
        <w:tc>
          <w:tcPr>
            <w:tcW w:w="4256" w:type="dxa"/>
            <w:gridSpan w:val="5"/>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Технические характеристики объекта</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r>
          </w:p>
        </w:tc>
        <w:tc>
          <w:tcPr>
            <w:tcW w:w="6" w:type="dxa"/>
            <w:tcBorders/>
          </w:tcPr>
          <w:p>
            <w:pPr>
              <w:pStyle w:val="Normal"/>
              <w:rPr/>
            </w:pPr>
            <w:r>
              <w:rPr/>
            </w:r>
          </w:p>
        </w:tc>
      </w:tr>
      <w:tr>
        <w:trPr>
          <w:trHeight w:val="480"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color w:val="000000"/>
                <w:sz w:val="16"/>
                <w:szCs w:val="16"/>
              </w:rPr>
            </w:pPr>
            <w:r>
              <w:rPr>
                <w:rFonts w:eastAsia="Times New Roman"/>
                <w:color w:val="000000"/>
                <w:sz w:val="16"/>
                <w:szCs w:val="16"/>
              </w:rPr>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Наименование показателя (мощность, протяженность, диаметр и т.п.)</w:t>
            </w:r>
          </w:p>
        </w:tc>
        <w:tc>
          <w:tcPr>
            <w:tcW w:w="2415" w:type="dxa"/>
            <w:gridSpan w:val="3"/>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Значение показателя</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r>
      <w:tr>
        <w:trPr>
          <w:trHeight w:val="73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color w:val="000000"/>
                <w:sz w:val="16"/>
                <w:szCs w:val="16"/>
              </w:rPr>
            </w:pPr>
            <w:r>
              <w:rPr>
                <w:rFonts w:eastAsia="Times New Roman"/>
                <w:color w:val="000000"/>
                <w:sz w:val="16"/>
                <w:szCs w:val="16"/>
              </w:rPr>
            </w:r>
          </w:p>
        </w:tc>
        <w:tc>
          <w:tcPr>
            <w:tcW w:w="184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425"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xml:space="preserve">аварийность (ед/км)                      </w:t>
            </w:r>
          </w:p>
        </w:tc>
        <w:tc>
          <w:tcPr>
            <w:tcW w:w="990" w:type="dxa"/>
            <w:vMerge w:val="restart"/>
            <w:tcBorders>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стоимость мероприятия, тыс.руб</w:t>
            </w:r>
          </w:p>
          <w:p>
            <w:pPr>
              <w:pStyle w:val="Normal"/>
              <w:widowControl/>
              <w:rPr>
                <w:rFonts w:eastAsia="Times New Roman"/>
                <w:color w:val="000000"/>
                <w:sz w:val="16"/>
                <w:szCs w:val="16"/>
              </w:rPr>
            </w:pPr>
            <w:r>
              <w:rPr>
                <w:rFonts w:eastAsia="Times New Roman"/>
                <w:color w:val="000000"/>
                <w:sz w:val="16"/>
                <w:szCs w:val="16"/>
              </w:rPr>
            </w:r>
          </w:p>
          <w:p>
            <w:pPr>
              <w:pStyle w:val="Normal"/>
              <w:rPr>
                <w:rFonts w:eastAsia="Times New Roman"/>
                <w:color w:val="000000"/>
                <w:sz w:val="16"/>
                <w:szCs w:val="16"/>
              </w:rPr>
            </w:pPr>
            <w:r>
              <w:rPr>
                <w:rFonts w:eastAsia="Times New Roman"/>
                <w:color w:val="000000"/>
                <w:sz w:val="16"/>
                <w:szCs w:val="16"/>
              </w:rPr>
            </w:r>
          </w:p>
          <w:p>
            <w:pPr>
              <w:pStyle w:val="Normal"/>
              <w:rPr>
                <w:rFonts w:eastAsia="Times New Roman"/>
                <w:color w:val="000000"/>
                <w:sz w:val="16"/>
                <w:szCs w:val="16"/>
              </w:rPr>
            </w:pPr>
            <w:r>
              <w:rPr>
                <w:rFonts w:eastAsia="Times New Roman"/>
                <w:color w:val="000000"/>
                <w:sz w:val="16"/>
                <w:szCs w:val="16"/>
              </w:rPr>
            </w:r>
          </w:p>
          <w:p>
            <w:pPr>
              <w:pStyle w:val="Normal"/>
              <w:rPr>
                <w:rFonts w:eastAsia="Times New Roman"/>
                <w:color w:val="000000"/>
                <w:sz w:val="16"/>
                <w:szCs w:val="16"/>
              </w:rPr>
            </w:pPr>
            <w:r>
              <w:rPr>
                <w:rFonts w:eastAsia="Times New Roman"/>
                <w:color w:val="000000"/>
                <w:sz w:val="16"/>
                <w:szCs w:val="16"/>
              </w:rPr>
            </w:r>
          </w:p>
          <w:p>
            <w:pPr>
              <w:pStyle w:val="Normal"/>
              <w:rPr>
                <w:rFonts w:eastAsia="Times New Roman"/>
                <w:color w:val="000000"/>
                <w:sz w:val="16"/>
                <w:szCs w:val="16"/>
              </w:rPr>
            </w:pPr>
            <w:r>
              <w:rPr>
                <w:rFonts w:eastAsia="Times New Roman"/>
                <w:color w:val="000000"/>
                <w:sz w:val="16"/>
                <w:szCs w:val="16"/>
              </w:rPr>
            </w:r>
          </w:p>
        </w:tc>
        <w:tc>
          <w:tcPr>
            <w:tcW w:w="567" w:type="dxa"/>
            <w:vMerge w:val="restart"/>
            <w:tcBorders>
              <w:top w:val="single" w:sz="4" w:space="0" w:color="000000"/>
              <w:left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t>Год реализации мероприятия</w:t>
            </w:r>
          </w:p>
        </w:tc>
        <w:tc>
          <w:tcPr>
            <w:tcW w:w="6" w:type="dxa"/>
            <w:tcBorders/>
          </w:tcPr>
          <w:p>
            <w:pPr>
              <w:pStyle w:val="Normal"/>
              <w:rPr/>
            </w:pPr>
            <w:r>
              <w:rPr/>
            </w:r>
          </w:p>
        </w:tc>
      </w:tr>
      <w:tr>
        <w:trPr>
          <w:trHeight w:val="1410"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eastAsia="Times New Roman"/>
                <w:color w:val="000000"/>
                <w:sz w:val="16"/>
                <w:szCs w:val="16"/>
              </w:rPr>
            </w:pPr>
            <w:r>
              <w:rPr>
                <w:rFonts w:eastAsia="Times New Roman"/>
                <w:color w:val="000000"/>
                <w:sz w:val="16"/>
                <w:szCs w:val="16"/>
              </w:rPr>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xml:space="preserve">до реализации мероприятия </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после реализации мероприятия</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до реализации мероприятия</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после реализации мероприятия</w:t>
            </w:r>
          </w:p>
        </w:tc>
        <w:tc>
          <w:tcPr>
            <w:tcW w:w="990" w:type="dxa"/>
            <w:vMerge w:val="continue"/>
            <w:tcBorders>
              <w:left w:val="single" w:sz="4" w:space="0" w:color="000000"/>
              <w:bottom w:val="single" w:sz="4" w:space="0" w:color="000000"/>
              <w:right w:val="single" w:sz="4" w:space="0" w:color="000000"/>
            </w:tcBorders>
            <w:vAlign w:val="center"/>
          </w:tcPr>
          <w:p>
            <w:pPr>
              <w:pStyle w:val="Normal"/>
              <w:rPr>
                <w:rFonts w:eastAsia="Times New Roman"/>
                <w:sz w:val="16"/>
                <w:szCs w:val="16"/>
              </w:rPr>
            </w:pPr>
            <w:r>
              <w:rPr>
                <w:rFonts w:eastAsia="Times New Roman"/>
                <w:sz w:val="16"/>
                <w:szCs w:val="16"/>
              </w:rPr>
            </w:r>
          </w:p>
        </w:tc>
        <w:tc>
          <w:tcPr>
            <w:tcW w:w="567" w:type="dxa"/>
            <w:vMerge w:val="continue"/>
            <w:tcBorders>
              <w:left w:val="single" w:sz="4" w:space="0" w:color="000000"/>
              <w:bottom w:val="single" w:sz="4" w:space="0" w:color="000000"/>
              <w:right w:val="single" w:sz="4" w:space="0" w:color="000000"/>
            </w:tcBorders>
            <w:vAlign w:val="center"/>
          </w:tcPr>
          <w:p>
            <w:pPr>
              <w:pStyle w:val="Normal"/>
              <w:widowControl/>
              <w:rPr>
                <w:rFonts w:eastAsia="Times New Roman"/>
                <w:color w:val="000000"/>
                <w:sz w:val="16"/>
                <w:szCs w:val="16"/>
              </w:rPr>
            </w:pPr>
            <w:r>
              <w:rPr>
                <w:rFonts w:eastAsia="Times New Roman"/>
                <w:color w:val="000000"/>
                <w:sz w:val="16"/>
                <w:szCs w:val="16"/>
              </w:rPr>
            </w:r>
          </w:p>
        </w:tc>
        <w:tc>
          <w:tcPr>
            <w:tcW w:w="6" w:type="dxa"/>
            <w:tcBorders/>
          </w:tcPr>
          <w:p>
            <w:pPr>
              <w:pStyle w:val="Normal"/>
              <w:rPr/>
            </w:pPr>
            <w:r>
              <w:rPr/>
            </w:r>
          </w:p>
        </w:tc>
      </w:tr>
      <w:tr>
        <w:trPr>
          <w:trHeight w:val="30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w:t>
            </w:r>
          </w:p>
        </w:tc>
        <w:tc>
          <w:tcPr>
            <w:tcW w:w="126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3</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4</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5</w:t>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6</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7</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8</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9</w:t>
            </w:r>
          </w:p>
        </w:tc>
        <w:tc>
          <w:tcPr>
            <w:tcW w:w="99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10</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11</w:t>
            </w:r>
          </w:p>
        </w:tc>
        <w:tc>
          <w:tcPr>
            <w:tcW w:w="6" w:type="dxa"/>
            <w:tcBorders/>
          </w:tcPr>
          <w:p>
            <w:pPr>
              <w:pStyle w:val="Normal"/>
              <w:rPr/>
            </w:pPr>
            <w:r>
              <w:rPr/>
            </w:r>
          </w:p>
        </w:tc>
      </w:tr>
      <w:tr>
        <w:trPr>
          <w:trHeight w:val="198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w:t>
            </w:r>
          </w:p>
        </w:tc>
        <w:tc>
          <w:tcPr>
            <w:tcW w:w="126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ВК15+5 м.п. до ВК19 , 1мкр.</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 xml:space="preserve">Выполнение мероприятий по обеспечению  бесперебойного и качественного  водоснабжения населения малоэтажной и удаленной застройки  города, в том числе и не подключенного к централизованному водоснабжению </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г.Шарыпово,    м-н 1, во дворе МКД 2 и 1 первого мкр-на.</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ВК15+5 м.п. до ВК19, 1мкр. (п. 142 табл.4.3.1)</w:t>
            </w:r>
          </w:p>
        </w:tc>
        <w:tc>
          <w:tcPr>
            <w:tcW w:w="853" w:type="dxa"/>
            <w:tcBorders>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L=172 м.п. Д - 159мм. сталь, мощность 23.5 л/сек</w:t>
            </w:r>
          </w:p>
        </w:tc>
        <w:tc>
          <w:tcPr>
            <w:tcW w:w="988" w:type="dxa"/>
            <w:tcBorders>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L=172 м.п. Д-160 мм., полиэтилен. С коэф. iерох.K=0/008,  мощность =23.0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1233,120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2024</w:t>
            </w:r>
          </w:p>
        </w:tc>
        <w:tc>
          <w:tcPr>
            <w:tcW w:w="6" w:type="dxa"/>
            <w:tcBorders/>
          </w:tcPr>
          <w:p>
            <w:pPr>
              <w:pStyle w:val="Normal"/>
              <w:rPr/>
            </w:pPr>
            <w:r>
              <w:rPr/>
            </w:r>
          </w:p>
        </w:tc>
      </w:tr>
      <w:tr>
        <w:trPr>
          <w:trHeight w:val="237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w:t>
            </w:r>
          </w:p>
        </w:tc>
        <w:tc>
          <w:tcPr>
            <w:tcW w:w="126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xml:space="preserve">Реконструкция участка сетей водоснабжения от ВК42 до ТК3 ул.Спортивная </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г.Шарыпово,  м-н 5- пр-т Энергетиков, от ВК42 у автодороги 5мкр. До ТК3 по ул. Спортивная. г. Шарыпово</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ВК42 до ТК3 ул.Спортивная (п.143 табл.4.3.1) .</w:t>
            </w:r>
          </w:p>
        </w:tc>
        <w:tc>
          <w:tcPr>
            <w:tcW w:w="853"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Прот.L=235 м.п.  Д-159мм, сталь,  мощность 23.5л/сек</w:t>
            </w:r>
          </w:p>
        </w:tc>
        <w:tc>
          <w:tcPr>
            <w:tcW w:w="988" w:type="dxa"/>
            <w:tcBorders>
              <w:top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Прот.L=235 м.п. Д-160мм, полиэтилен. С коэф. iерох.K=0/008,  мощность =23.0 л/сек.</w:t>
            </w:r>
          </w:p>
        </w:tc>
        <w:tc>
          <w:tcPr>
            <w:tcW w:w="711"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1684,780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2025</w:t>
            </w:r>
          </w:p>
        </w:tc>
        <w:tc>
          <w:tcPr>
            <w:tcW w:w="6" w:type="dxa"/>
            <w:tcBorders/>
          </w:tcPr>
          <w:p>
            <w:pPr>
              <w:pStyle w:val="Normal"/>
              <w:rPr/>
            </w:pPr>
            <w:r>
              <w:rPr/>
            </w:r>
          </w:p>
        </w:tc>
      </w:tr>
      <w:tr>
        <w:trPr>
          <w:trHeight w:val="255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3.</w:t>
            </w:r>
          </w:p>
        </w:tc>
        <w:tc>
          <w:tcPr>
            <w:tcW w:w="126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Реконструкция участка сетей водоснабжения от ВК17 ул.Заводская до ТК67 ул.Российская (1-й этап от ВК17 до ВК 35)</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Обеспечение бесперебойного водоснабжения центральной части города, в т.ч. микрорайонов 3,2, Пионерный, Берлин и Энергостроителей</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 Шарыпово, от ВК17 до ВК35 ул.Российская</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ВК17 ул.Заводская до ТК67 ул.Российская (1-й этап от ВК17 до ВК 35) (п. 144 табл.4.3.1)</w:t>
            </w:r>
          </w:p>
        </w:tc>
        <w:tc>
          <w:tcPr>
            <w:tcW w:w="853"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 235 м.п. Д-108 мм сталь, мощность  12.25 л/сек</w:t>
            </w:r>
          </w:p>
        </w:tc>
        <w:tc>
          <w:tcPr>
            <w:tcW w:w="988"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L=235 м.п. Д-110 мм, полиэтилен. С коэф. iерох.K=0/008,  мощность =10.75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0,07</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0,023</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1554,160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2026</w:t>
            </w:r>
          </w:p>
        </w:tc>
        <w:tc>
          <w:tcPr>
            <w:tcW w:w="6" w:type="dxa"/>
            <w:tcBorders/>
          </w:tcPr>
          <w:p>
            <w:pPr>
              <w:pStyle w:val="Normal"/>
              <w:rPr/>
            </w:pPr>
            <w:r>
              <w:rPr/>
            </w:r>
          </w:p>
        </w:tc>
      </w:tr>
      <w:tr>
        <w:trPr>
          <w:trHeight w:val="387"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4.</w:t>
            </w:r>
          </w:p>
        </w:tc>
        <w:tc>
          <w:tcPr>
            <w:tcW w:w="126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Реконструкция участка сетей водоснабжения от ВК17 ул.Заводская до ТК67 ул.Российская (2-й этап от ВК35 доТК 67)</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многоквартирных домах</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 Шарыпово, от ВК35 до ТК 67 ул.Российская</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ВК17 ул.Заводская до ТК67 ул.Российская (2-й этап от ВК35 доТК 67) (п. 145 табл.4.3.1)</w:t>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 285 м.п. Д-108 мм сталь, мощность  12.25 л/сек</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L=285 м.п. Д-110 мм, полиэтилен. С коэф. iерох.K=0/008,  мощность =10.75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0,02</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0,007</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1884,610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2027</w:t>
            </w:r>
          </w:p>
        </w:tc>
        <w:tc>
          <w:tcPr>
            <w:tcW w:w="6" w:type="dxa"/>
            <w:tcBorders/>
          </w:tcPr>
          <w:p>
            <w:pPr>
              <w:pStyle w:val="Normal"/>
              <w:rPr/>
            </w:pPr>
            <w:r>
              <w:rPr/>
            </w:r>
          </w:p>
        </w:tc>
      </w:tr>
      <w:tr>
        <w:trPr>
          <w:trHeight w:val="2625"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5.</w:t>
            </w:r>
          </w:p>
        </w:tc>
        <w:tc>
          <w:tcPr>
            <w:tcW w:w="1268"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Реконструкция участка сетей водоснабжения от ВК11 в сторону  КП11  4мкр.,</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многоквартирных домах</w:t>
            </w:r>
          </w:p>
        </w:tc>
        <w:tc>
          <w:tcPr>
            <w:tcW w:w="1274"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xml:space="preserve">г.Шарыпово, не застроенная территория вдоль просп. Центральный от ВК11 4-го мкр-на в сторону КП11 3-го мкр-на   магистральный </w:t>
            </w:r>
          </w:p>
        </w:tc>
        <w:tc>
          <w:tcPr>
            <w:tcW w:w="1132"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ВК11 в сторону  КП11  4мкр. (п.146 табл.4.3.1)</w:t>
            </w:r>
          </w:p>
        </w:tc>
        <w:tc>
          <w:tcPr>
            <w:tcW w:w="853" w:type="dxa"/>
            <w:tcBorders>
              <w:top w:val="single" w:sz="4" w:space="0" w:color="000000"/>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 94 м.п., Д-426мм ,  сталь, мощность 189.0  л/сек</w:t>
            </w:r>
          </w:p>
        </w:tc>
        <w:tc>
          <w:tcPr>
            <w:tcW w:w="988" w:type="dxa"/>
            <w:tcBorders>
              <w:top w:val="single" w:sz="4" w:space="0" w:color="000000"/>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 94 м.п., Д-400мм., полиэтилен. С коэф. iерох.K=0/008,  мощность =168 л/сек.</w:t>
            </w:r>
          </w:p>
        </w:tc>
        <w:tc>
          <w:tcPr>
            <w:tcW w:w="71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0,02</w:t>
            </w:r>
          </w:p>
        </w:tc>
        <w:tc>
          <w:tcPr>
            <w:tcW w:w="714"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0,007</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2237,510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2028</w:t>
            </w:r>
          </w:p>
        </w:tc>
        <w:tc>
          <w:tcPr>
            <w:tcW w:w="6" w:type="dxa"/>
            <w:tcBorders/>
          </w:tcPr>
          <w:p>
            <w:pPr>
              <w:pStyle w:val="Normal"/>
              <w:rPr/>
            </w:pPr>
            <w:r>
              <w:rPr/>
            </w:r>
          </w:p>
        </w:tc>
      </w:tr>
      <w:tr>
        <w:trPr>
          <w:trHeight w:val="2172"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6.</w:t>
            </w:r>
          </w:p>
        </w:tc>
        <w:tc>
          <w:tcPr>
            <w:tcW w:w="1268" w:type="dxa"/>
            <w:tcBorders>
              <w:bottom w:val="single" w:sz="4" w:space="0" w:color="000000"/>
              <w:right w:val="single" w:sz="4" w:space="0" w:color="000000"/>
            </w:tcBorders>
            <w:shd w:color="auto" w:fill="auto" w:val="clear"/>
          </w:tcPr>
          <w:p>
            <w:pPr>
              <w:pStyle w:val="Normal"/>
              <w:widowControl/>
              <w:ind w:left="-116" w:hanging="0"/>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ВК16 ул.Заводская до ВК36 ул.Октябрьская</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 Шарыпово, от ВК16 ул.Заводская до ВК36 ул.Октябрьская</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ВК16 ул.Заводская до ВК36 ул.Октябрьская (п.147 табл.4.3.1)</w:t>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 321 м.п. Д-108 мм сталь, мощность 12.25 л/сек</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L=321 м.п. Д-110мм, полиэтилен. С коэф. iерох.K=0/008,  мощность =10.75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2116,050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2029</w:t>
            </w:r>
          </w:p>
        </w:tc>
        <w:tc>
          <w:tcPr>
            <w:tcW w:w="6" w:type="dxa"/>
            <w:tcBorders/>
          </w:tcPr>
          <w:p>
            <w:pPr>
              <w:pStyle w:val="Normal"/>
              <w:rPr/>
            </w:pPr>
            <w:r>
              <w:rPr/>
            </w:r>
          </w:p>
        </w:tc>
      </w:tr>
      <w:tr>
        <w:trPr>
          <w:trHeight w:val="294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7.</w:t>
            </w:r>
          </w:p>
        </w:tc>
        <w:tc>
          <w:tcPr>
            <w:tcW w:w="1268" w:type="dxa"/>
            <w:tcBorders>
              <w:bottom w:val="single" w:sz="4" w:space="0" w:color="000000"/>
              <w:right w:val="single" w:sz="4" w:space="0" w:color="000000"/>
            </w:tcBorders>
            <w:shd w:color="auto" w:fill="auto" w:val="clear"/>
          </w:tcPr>
          <w:p>
            <w:pPr>
              <w:pStyle w:val="Normal"/>
              <w:widowControl/>
              <w:ind w:left="-116" w:hanging="0"/>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ВК14 ул.Заводская до ВК23 ул.Российская (1-й этап от ВК14 до ВК21)</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 Шарыпово, от ВК14 ул.Заводская до ВК21 ул.Российская</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ВК14 ул.Заводская до ВК23 ул.Российская (1-й этап от ВК14 до ВК21) (п. 148 табл.4.3.1)</w:t>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 346 м.п. Д-108 мм сталь, мощность 12.25 л/сек</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L=346 м.п. Д-110мм, полиэтилен. С коэф. iерох.K=0/008,  мощность =10.75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2287,980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2 030</w:t>
            </w:r>
          </w:p>
        </w:tc>
        <w:tc>
          <w:tcPr>
            <w:tcW w:w="6" w:type="dxa"/>
            <w:tcBorders/>
          </w:tcPr>
          <w:p>
            <w:pPr>
              <w:pStyle w:val="Normal"/>
              <w:rPr/>
            </w:pPr>
            <w:r>
              <w:rPr/>
            </w:r>
          </w:p>
        </w:tc>
      </w:tr>
      <w:tr>
        <w:trPr>
          <w:trHeight w:val="261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8.</w:t>
            </w:r>
          </w:p>
        </w:tc>
        <w:tc>
          <w:tcPr>
            <w:tcW w:w="1268" w:type="dxa"/>
            <w:tcBorders>
              <w:bottom w:val="single" w:sz="4" w:space="0" w:color="000000"/>
              <w:right w:val="single" w:sz="4" w:space="0" w:color="000000"/>
            </w:tcBorders>
            <w:shd w:color="auto" w:fill="auto" w:val="clear"/>
          </w:tcPr>
          <w:p>
            <w:pPr>
              <w:pStyle w:val="Normal"/>
              <w:widowControl/>
              <w:ind w:left="-116" w:hanging="0"/>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ВК14 ул.Заводская до ВК23 ул.Российская (2-й этап от ВК21 до ВК23)</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 Шарыпово, от ВК21 ул.Заводская до ВК23 ул.Российская</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ВК14 ул.Заводская до ВК23 ул.Российская (2-й этап от ВК21 до ВК23) (п.149 табл.4.3.1)</w:t>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 335 м.п. Д-108 мм сталь, мощность 12.25 л/сек</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Прот. L=335 м.п. Д-110мм, полиэтилен. С коэф. iерох.K=0/008,  мощность =10.75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2215,340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2031</w:t>
            </w:r>
          </w:p>
        </w:tc>
        <w:tc>
          <w:tcPr>
            <w:tcW w:w="6" w:type="dxa"/>
            <w:tcBorders/>
          </w:tcPr>
          <w:p>
            <w:pPr>
              <w:pStyle w:val="Normal"/>
              <w:rPr/>
            </w:pPr>
            <w:r>
              <w:rPr/>
            </w:r>
          </w:p>
        </w:tc>
      </w:tr>
      <w:tr>
        <w:trPr>
          <w:trHeight w:val="2955"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9.</w:t>
            </w:r>
          </w:p>
        </w:tc>
        <w:tc>
          <w:tcPr>
            <w:tcW w:w="1268" w:type="dxa"/>
            <w:tcBorders>
              <w:bottom w:val="single" w:sz="4" w:space="0" w:color="000000"/>
              <w:right w:val="single" w:sz="4" w:space="0" w:color="000000"/>
            </w:tcBorders>
            <w:shd w:color="auto" w:fill="auto" w:val="clear"/>
          </w:tcPr>
          <w:p>
            <w:pPr>
              <w:pStyle w:val="Normal"/>
              <w:widowControl/>
              <w:ind w:left="-116" w:hanging="0"/>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 до ВК12, кв. Листвяг, пр. Преображенский (1-й этап от ВК1 до ВК109)</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г.Шарыпово,                                  м-н Листвяг, проспект Преображенский от ВК1 до ВК109</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 до ВК12 ,     кв. Листвяг, пр. Преображенский (1-й этап от ВК1 до ВК109) (п. 150 табл.4.3.1)</w:t>
            </w:r>
          </w:p>
        </w:tc>
        <w:tc>
          <w:tcPr>
            <w:tcW w:w="853" w:type="dxa"/>
            <w:tcBorders>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 xml:space="preserve">Прот. L=219,5м.п., Д-159мм., сталь. Мощность   23.5л/сек </w:t>
            </w:r>
          </w:p>
        </w:tc>
        <w:tc>
          <w:tcPr>
            <w:tcW w:w="988" w:type="dxa"/>
            <w:tcBorders>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L=219,5 м.п., Д- 160мм., полиэтилен. С коэф. iерох.K=0/008,  мощность =23.0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1573,660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2032</w:t>
            </w:r>
          </w:p>
        </w:tc>
        <w:tc>
          <w:tcPr>
            <w:tcW w:w="6" w:type="dxa"/>
            <w:tcBorders/>
          </w:tcPr>
          <w:p>
            <w:pPr>
              <w:pStyle w:val="Normal"/>
              <w:rPr/>
            </w:pPr>
            <w:r>
              <w:rPr/>
            </w:r>
          </w:p>
        </w:tc>
      </w:tr>
      <w:tr>
        <w:trPr>
          <w:trHeight w:val="3060"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10.</w:t>
            </w:r>
          </w:p>
        </w:tc>
        <w:tc>
          <w:tcPr>
            <w:tcW w:w="1268" w:type="dxa"/>
            <w:tcBorders>
              <w:top w:val="single" w:sz="4" w:space="0" w:color="000000"/>
              <w:bottom w:val="single" w:sz="4" w:space="0" w:color="000000"/>
              <w:right w:val="single" w:sz="4" w:space="0" w:color="000000"/>
            </w:tcBorders>
            <w:shd w:color="auto" w:fill="auto" w:val="clear"/>
          </w:tcPr>
          <w:p>
            <w:pPr>
              <w:pStyle w:val="Normal"/>
              <w:widowControl/>
              <w:ind w:left="-116" w:hanging="0"/>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 до ВК12, кв. Листвяг, пр. Преображенский (2-й этап от ВК109 до ВК15)</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 xml:space="preserve">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малоэтажной и удаленной застройки  города при аварийных ситуациях </w:t>
            </w:r>
          </w:p>
        </w:tc>
        <w:tc>
          <w:tcPr>
            <w:tcW w:w="1274"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г.Шарыпово,                                  м-н Листвяг, проспект Преображенский от ВК109 до ВК15</w:t>
            </w:r>
          </w:p>
        </w:tc>
        <w:tc>
          <w:tcPr>
            <w:tcW w:w="1132"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 до ВК12 ,     кв. Листвяг, пр. Преображенский (2-й этап от ВК109 до ВК15) (п. 151 табл.4.3.1)</w:t>
            </w:r>
          </w:p>
        </w:tc>
        <w:tc>
          <w:tcPr>
            <w:tcW w:w="853" w:type="dxa"/>
            <w:tcBorders>
              <w:top w:val="single" w:sz="4" w:space="0" w:color="000000"/>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 xml:space="preserve">Прот. L=345,5м.п., Д-159мм., сталь. Мощность   23.5л/сек </w:t>
            </w:r>
          </w:p>
        </w:tc>
        <w:tc>
          <w:tcPr>
            <w:tcW w:w="988" w:type="dxa"/>
            <w:tcBorders>
              <w:top w:val="single" w:sz="4" w:space="0" w:color="000000"/>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L=345,5 м.п., Д- 160мм., полиэтилен. С коэф. iерох.K=0/008,  мощность =23.0 л/сек.</w:t>
            </w:r>
          </w:p>
        </w:tc>
        <w:tc>
          <w:tcPr>
            <w:tcW w:w="711"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2476,990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2033</w:t>
            </w:r>
          </w:p>
        </w:tc>
        <w:tc>
          <w:tcPr>
            <w:tcW w:w="6" w:type="dxa"/>
            <w:tcBorders/>
          </w:tcPr>
          <w:p>
            <w:pPr>
              <w:pStyle w:val="Normal"/>
              <w:rPr/>
            </w:pPr>
            <w:r>
              <w:rPr/>
            </w:r>
          </w:p>
        </w:tc>
      </w:tr>
      <w:tr>
        <w:trPr>
          <w:trHeight w:val="3105"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11.</w:t>
            </w:r>
          </w:p>
        </w:tc>
        <w:tc>
          <w:tcPr>
            <w:tcW w:w="1268" w:type="dxa"/>
            <w:tcBorders>
              <w:bottom w:val="single" w:sz="4" w:space="0" w:color="000000"/>
              <w:right w:val="single" w:sz="4" w:space="0" w:color="000000"/>
            </w:tcBorders>
            <w:shd w:color="auto" w:fill="auto" w:val="clear"/>
          </w:tcPr>
          <w:p>
            <w:pPr>
              <w:pStyle w:val="Normal"/>
              <w:widowControl/>
              <w:ind w:left="-116" w:hanging="0"/>
              <w:jc w:val="center"/>
              <w:rPr>
                <w:rFonts w:eastAsia="Times New Roman"/>
                <w:color w:val="000000"/>
                <w:sz w:val="16"/>
                <w:szCs w:val="16"/>
              </w:rPr>
            </w:pPr>
            <w:r>
              <w:rPr>
                <w:rFonts w:eastAsia="Times New Roman"/>
                <w:color w:val="000000"/>
                <w:sz w:val="16"/>
                <w:szCs w:val="16"/>
              </w:rPr>
              <w:t xml:space="preserve"> </w:t>
            </w:r>
            <w:r>
              <w:rPr>
                <w:rFonts w:eastAsia="Times New Roman"/>
                <w:color w:val="000000"/>
                <w:sz w:val="16"/>
                <w:szCs w:val="16"/>
              </w:rPr>
              <w:t>Реконструкция участка сетей водоснабжения от ВК1 до ВК12, кв. Листвяг, пр. Преображенский (3-й этап от ВК15 до ВК12)</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2"/>
                <w:szCs w:val="12"/>
              </w:rPr>
            </w:pPr>
            <w:r>
              <w:rPr>
                <w:rFonts w:eastAsia="Times New Roman"/>
                <w:color w:val="000000"/>
                <w:sz w:val="12"/>
                <w:szCs w:val="12"/>
              </w:rPr>
              <w:t xml:space="preserve">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малоэтажной и удаленной застройки  города при аварийных ситуациях </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г.Шарыпово,                                  м-н Листвяг, проспект Преображенский от ВК15 до ВК12</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sz w:val="16"/>
                <w:szCs w:val="16"/>
              </w:rPr>
            </w:pPr>
            <w:r>
              <w:rPr>
                <w:rFonts w:eastAsia="Times New Roman"/>
                <w:sz w:val="16"/>
                <w:szCs w:val="16"/>
              </w:rPr>
              <w:t>Реконструкция участка сетей водоснабжения                от ВК1 до ВК12 ,     кв. Листвяг, пр. Преображенский (3-й этап от ВК115 до ВК12) (п. 152 табл.4.3.1)</w:t>
            </w:r>
          </w:p>
        </w:tc>
        <w:tc>
          <w:tcPr>
            <w:tcW w:w="853" w:type="dxa"/>
            <w:tcBorders>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 xml:space="preserve">Прот. L=363м.п., Д-159мм., сталь. Мощность   23.5л/сек </w:t>
            </w:r>
          </w:p>
        </w:tc>
        <w:tc>
          <w:tcPr>
            <w:tcW w:w="988" w:type="dxa"/>
            <w:tcBorders>
              <w:bottom w:val="single" w:sz="4" w:space="0" w:color="000000"/>
              <w:right w:val="single" w:sz="4" w:space="0" w:color="000000"/>
            </w:tcBorders>
            <w:shd w:color="000000" w:fill="FFFFFF" w:val="clear"/>
          </w:tcPr>
          <w:p>
            <w:pPr>
              <w:pStyle w:val="Normal"/>
              <w:widowControl/>
              <w:jc w:val="center"/>
              <w:rPr>
                <w:rFonts w:eastAsia="Times New Roman"/>
                <w:color w:val="000000"/>
                <w:sz w:val="16"/>
                <w:szCs w:val="16"/>
              </w:rPr>
            </w:pPr>
            <w:r>
              <w:rPr>
                <w:rFonts w:eastAsia="Times New Roman"/>
                <w:color w:val="000000"/>
                <w:sz w:val="16"/>
                <w:szCs w:val="16"/>
              </w:rPr>
              <w:t>Прот. L=363 м.п., Д- 160мм., полиэтилен. С коэф. iерох.K=0/008,  мощность =23.0 л/сек.</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0,03</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0,01</w:t>
            </w:r>
          </w:p>
        </w:tc>
        <w:tc>
          <w:tcPr>
            <w:tcW w:w="990" w:type="dxa"/>
            <w:tcBorders>
              <w:top w:val="single" w:sz="4" w:space="0" w:color="000000"/>
              <w:left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2606,450</w:t>
            </w:r>
          </w:p>
        </w:tc>
        <w:tc>
          <w:tcPr>
            <w:tcW w:w="567"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2034</w:t>
            </w:r>
          </w:p>
        </w:tc>
        <w:tc>
          <w:tcPr>
            <w:tcW w:w="6" w:type="dxa"/>
            <w:tcBorders/>
          </w:tcPr>
          <w:p>
            <w:pPr>
              <w:pStyle w:val="Normal"/>
              <w:rPr/>
            </w:pPr>
            <w:r>
              <w:rPr/>
            </w:r>
          </w:p>
        </w:tc>
      </w:tr>
      <w:tr>
        <w:trPr>
          <w:trHeight w:val="315" w:hRule="atLeast"/>
        </w:trPr>
        <w:tc>
          <w:tcPr>
            <w:tcW w:w="432" w:type="dxa"/>
            <w:tcBorders>
              <w:left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126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Итого:</w:t>
            </w:r>
          </w:p>
        </w:tc>
        <w:tc>
          <w:tcPr>
            <w:tcW w:w="1560"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127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1132"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853"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988"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711"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714"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990" w:type="dxa"/>
            <w:tcBorders>
              <w:top w:val="single" w:sz="4" w:space="0" w:color="000000"/>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21870,65</w:t>
            </w:r>
          </w:p>
        </w:tc>
        <w:tc>
          <w:tcPr>
            <w:tcW w:w="567" w:type="dxa"/>
            <w:tcBorders>
              <w:bottom w:val="single" w:sz="4" w:space="0" w:color="000000"/>
              <w:right w:val="single" w:sz="4" w:space="0" w:color="000000"/>
            </w:tcBorders>
            <w:shd w:color="auto" w:fill="auto" w:val="clear"/>
          </w:tcPr>
          <w:p>
            <w:pPr>
              <w:pStyle w:val="Normal"/>
              <w:widowControl/>
              <w:jc w:val="center"/>
              <w:rPr>
                <w:rFonts w:eastAsia="Times New Roman"/>
                <w:color w:val="000000"/>
                <w:sz w:val="16"/>
                <w:szCs w:val="16"/>
              </w:rPr>
            </w:pPr>
            <w:r>
              <w:rPr>
                <w:rFonts w:eastAsia="Times New Roman"/>
                <w:color w:val="000000"/>
                <w:sz w:val="16"/>
                <w:szCs w:val="16"/>
              </w:rPr>
              <w:t> </w:t>
            </w:r>
          </w:p>
        </w:tc>
        <w:tc>
          <w:tcPr>
            <w:tcW w:w="6" w:type="dxa"/>
            <w:tcBorders/>
          </w:tcPr>
          <w:p>
            <w:pPr>
              <w:pStyle w:val="Normal"/>
              <w:rPr/>
            </w:pPr>
            <w:r>
              <w:rPr/>
            </w:r>
          </w:p>
        </w:tc>
      </w:tr>
    </w:tbl>
    <w:p>
      <w:pPr>
        <w:pStyle w:val="ListParagraph"/>
        <w:widowControl w:val="false"/>
        <w:ind w:left="0" w:firstLine="709"/>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ind w:left="0" w:firstLine="709"/>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ind w:left="0" w:firstLine="709"/>
        <w:jc w:val="both"/>
        <w:rPr>
          <w:color w:val="000000" w:themeColor="text1"/>
          <w:spacing w:val="1"/>
          <w:sz w:val="24"/>
          <w:szCs w:val="24"/>
          <w:lang w:val="ru-RU"/>
        </w:rPr>
      </w:pPr>
      <w:r>
        <w:rPr>
          <w:color w:val="000000" w:themeColor="text1"/>
          <w:spacing w:val="1"/>
          <w:sz w:val="24"/>
          <w:szCs w:val="24"/>
          <w:lang w:val="ru-RU"/>
        </w:rPr>
        <w:t xml:space="preserve">Минимально допустимые плановые значения показателей деятельночти концессионера: </w:t>
      </w:r>
    </w:p>
    <w:p>
      <w:pPr>
        <w:pStyle w:val="ListParagraph"/>
        <w:widowControl w:val="false"/>
        <w:ind w:left="0" w:firstLine="709"/>
        <w:jc w:val="both"/>
        <w:rPr>
          <w:color w:val="000000" w:themeColor="text1"/>
          <w:spacing w:val="1"/>
          <w:sz w:val="24"/>
          <w:szCs w:val="24"/>
          <w:lang w:val="ru-RU"/>
        </w:rPr>
      </w:pPr>
      <w:r>
        <w:rPr>
          <w:color w:val="000000" w:themeColor="text1"/>
          <w:spacing w:val="1"/>
          <w:sz w:val="24"/>
          <w:szCs w:val="24"/>
          <w:lang w:val="ru-RU"/>
        </w:rPr>
      </w:r>
    </w:p>
    <w:tbl>
      <w:tblPr>
        <w:tblW w:w="10007" w:type="dxa"/>
        <w:jc w:val="left"/>
        <w:tblInd w:w="-20" w:type="dxa"/>
        <w:tblCellMar>
          <w:top w:w="0" w:type="dxa"/>
          <w:left w:w="108" w:type="dxa"/>
          <w:bottom w:w="0" w:type="dxa"/>
          <w:right w:w="108" w:type="dxa"/>
        </w:tblCellMar>
        <w:tblLook w:val="04a0"/>
      </w:tblPr>
      <w:tblGrid>
        <w:gridCol w:w="2212"/>
        <w:gridCol w:w="695"/>
        <w:gridCol w:w="575"/>
        <w:gridCol w:w="531"/>
        <w:gridCol w:w="542"/>
        <w:gridCol w:w="530"/>
        <w:gridCol w:w="603"/>
        <w:gridCol w:w="544"/>
        <w:gridCol w:w="530"/>
        <w:gridCol w:w="528"/>
        <w:gridCol w:w="538"/>
        <w:gridCol w:w="434"/>
        <w:gridCol w:w="17"/>
        <w:gridCol w:w="480"/>
        <w:gridCol w:w="48"/>
        <w:gridCol w:w="435"/>
        <w:gridCol w:w="86"/>
        <w:gridCol w:w="649"/>
        <w:gridCol w:w="27"/>
      </w:tblGrid>
      <w:tr>
        <w:trPr>
          <w:trHeight w:val="1920" w:hRule="atLeast"/>
          <w:cantSplit w:val="true"/>
        </w:trPr>
        <w:tc>
          <w:tcPr>
            <w:tcW w:w="2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b/>
                <w:b/>
                <w:sz w:val="18"/>
                <w:szCs w:val="18"/>
              </w:rPr>
            </w:pPr>
            <w:r>
              <w:rPr>
                <w:rFonts w:eastAsia="Times New Roman"/>
                <w:b/>
                <w:sz w:val="18"/>
                <w:szCs w:val="18"/>
              </w:rPr>
              <w:t>Показатель</w:t>
            </w:r>
          </w:p>
        </w:tc>
        <w:tc>
          <w:tcPr>
            <w:tcW w:w="695"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b/>
                <w:b/>
                <w:color w:val="000000"/>
                <w:sz w:val="18"/>
                <w:szCs w:val="18"/>
              </w:rPr>
            </w:pPr>
            <w:r>
              <w:rPr>
                <w:rFonts w:eastAsia="Times New Roman"/>
                <w:b/>
                <w:color w:val="000000"/>
                <w:sz w:val="18"/>
                <w:szCs w:val="18"/>
              </w:rPr>
              <w:t>Ед.из.</w:t>
            </w:r>
          </w:p>
        </w:tc>
        <w:tc>
          <w:tcPr>
            <w:tcW w:w="575"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2022</w:t>
            </w:r>
          </w:p>
        </w:tc>
        <w:tc>
          <w:tcPr>
            <w:tcW w:w="531"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2023</w:t>
            </w:r>
          </w:p>
        </w:tc>
        <w:tc>
          <w:tcPr>
            <w:tcW w:w="542"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2024</w:t>
            </w:r>
          </w:p>
        </w:tc>
        <w:tc>
          <w:tcPr>
            <w:tcW w:w="53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2025</w:t>
            </w:r>
          </w:p>
        </w:tc>
        <w:tc>
          <w:tcPr>
            <w:tcW w:w="603"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2026</w:t>
            </w:r>
          </w:p>
        </w:tc>
        <w:tc>
          <w:tcPr>
            <w:tcW w:w="544"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2027</w:t>
            </w:r>
          </w:p>
        </w:tc>
        <w:tc>
          <w:tcPr>
            <w:tcW w:w="53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2028</w:t>
            </w:r>
          </w:p>
        </w:tc>
        <w:tc>
          <w:tcPr>
            <w:tcW w:w="52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2029</w:t>
            </w:r>
          </w:p>
        </w:tc>
        <w:tc>
          <w:tcPr>
            <w:tcW w:w="53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2030</w:t>
            </w:r>
          </w:p>
        </w:tc>
        <w:tc>
          <w:tcPr>
            <w:tcW w:w="451" w:type="dxa"/>
            <w:gridSpan w:val="2"/>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2031</w:t>
            </w:r>
          </w:p>
        </w:tc>
        <w:tc>
          <w:tcPr>
            <w:tcW w:w="48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2032</w:t>
            </w:r>
          </w:p>
        </w:tc>
        <w:tc>
          <w:tcPr>
            <w:tcW w:w="569" w:type="dxa"/>
            <w:gridSpan w:val="3"/>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2033</w:t>
            </w:r>
          </w:p>
        </w:tc>
        <w:tc>
          <w:tcPr>
            <w:tcW w:w="676" w:type="dxa"/>
            <w:gridSpan w:val="2"/>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b/>
                <w:b/>
                <w:sz w:val="18"/>
                <w:szCs w:val="18"/>
              </w:rPr>
            </w:pPr>
            <w:r>
              <w:rPr>
                <w:rFonts w:eastAsia="Times New Roman"/>
                <w:b/>
                <w:sz w:val="18"/>
                <w:szCs w:val="18"/>
              </w:rPr>
              <w:t>2034</w:t>
            </w:r>
          </w:p>
        </w:tc>
      </w:tr>
      <w:tr>
        <w:trPr>
          <w:trHeight w:val="1920" w:hRule="atLeast"/>
        </w:trPr>
        <w:tc>
          <w:tcPr>
            <w:tcW w:w="2212"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22"/>
                <w:szCs w:val="22"/>
              </w:rPr>
            </w:pPr>
            <w:r>
              <w:rPr>
                <w:rFonts w:eastAsia="Times New Roman"/>
                <w:sz w:val="22"/>
                <w:szCs w:val="22"/>
              </w:rPr>
              <w:t xml:space="preserve">Доля проб питьевой воды в распределительной водопроводной сети, не соответствующих установленным требованиям, </w:t>
            </w:r>
          </w:p>
          <w:p>
            <w:pPr>
              <w:pStyle w:val="Normal"/>
              <w:widowControl/>
              <w:jc w:val="center"/>
              <w:rPr>
                <w:rFonts w:eastAsia="Times New Roman"/>
                <w:sz w:val="22"/>
                <w:szCs w:val="22"/>
              </w:rPr>
            </w:pPr>
            <w:r>
              <w:rPr>
                <w:rFonts w:eastAsia="Times New Roman"/>
                <w:sz w:val="22"/>
                <w:szCs w:val="22"/>
              </w:rPr>
              <w:t>в общем объеме проб, отобранных</w:t>
            </w:r>
          </w:p>
          <w:p>
            <w:pPr>
              <w:pStyle w:val="Normal"/>
              <w:widowControl/>
              <w:jc w:val="center"/>
              <w:rPr>
                <w:rFonts w:eastAsia="Times New Roman"/>
                <w:sz w:val="22"/>
                <w:szCs w:val="22"/>
              </w:rPr>
            </w:pPr>
            <w:r>
              <w:rPr>
                <w:rFonts w:eastAsia="Times New Roman"/>
                <w:sz w:val="22"/>
                <w:szCs w:val="22"/>
              </w:rPr>
              <w:t xml:space="preserve"> </w:t>
            </w:r>
            <w:r>
              <w:rPr>
                <w:rFonts w:eastAsia="Times New Roman"/>
                <w:sz w:val="22"/>
                <w:szCs w:val="22"/>
              </w:rPr>
              <w:t>по результатам производственного контроля качества воды</w:t>
            </w:r>
          </w:p>
        </w:tc>
        <w:tc>
          <w:tcPr>
            <w:tcW w:w="695" w:type="dxa"/>
            <w:tcBorders>
              <w:bottom w:val="single" w:sz="4" w:space="0" w:color="000000"/>
              <w:right w:val="single" w:sz="4" w:space="0" w:color="000000"/>
            </w:tcBorders>
            <w:shd w:color="auto" w:fill="auto" w:val="clear"/>
            <w:vAlign w:val="center"/>
          </w:tcPr>
          <w:p>
            <w:pPr>
              <w:pStyle w:val="Normal"/>
              <w:widowControl/>
              <w:jc w:val="center"/>
              <w:rPr>
                <w:rFonts w:eastAsia="Times New Roman"/>
                <w:color w:val="000000"/>
                <w:sz w:val="18"/>
                <w:szCs w:val="18"/>
              </w:rPr>
            </w:pPr>
            <w:r>
              <w:rPr>
                <w:rFonts w:eastAsia="Times New Roman"/>
                <w:color w:val="000000"/>
                <w:sz w:val="18"/>
                <w:szCs w:val="18"/>
              </w:rPr>
              <w:t>%</w:t>
            </w:r>
          </w:p>
        </w:tc>
        <w:tc>
          <w:tcPr>
            <w:tcW w:w="575"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1"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42"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0"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603"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44"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0"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28"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38"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451" w:type="dxa"/>
            <w:gridSpan w:val="2"/>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480" w:type="dxa"/>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569" w:type="dxa"/>
            <w:gridSpan w:val="3"/>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c>
          <w:tcPr>
            <w:tcW w:w="676" w:type="dxa"/>
            <w:gridSpan w:val="2"/>
            <w:tcBorders>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1</w:t>
            </w:r>
          </w:p>
        </w:tc>
      </w:tr>
      <w:tr>
        <w:trPr>
          <w:trHeight w:val="2220" w:hRule="atLeast"/>
          <w:cantSplit w:val="true"/>
        </w:trPr>
        <w:tc>
          <w:tcPr>
            <w:tcW w:w="2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22"/>
                <w:szCs w:val="22"/>
              </w:rPr>
            </w:pPr>
            <w:r>
              <w:rPr>
                <w:rFonts w:eastAsia="Times New Roman"/>
                <w:sz w:val="22"/>
                <w:szCs w:val="22"/>
              </w:rPr>
              <w:t>Количество перерывов  в подаче воды, зафиксированных</w:t>
            </w:r>
          </w:p>
          <w:p>
            <w:pPr>
              <w:pStyle w:val="Normal"/>
              <w:widowControl/>
              <w:jc w:val="center"/>
              <w:rPr>
                <w:rFonts w:eastAsia="Times New Roman"/>
                <w:sz w:val="22"/>
                <w:szCs w:val="22"/>
              </w:rPr>
            </w:pPr>
            <w:r>
              <w:rPr>
                <w:rFonts w:eastAsia="Times New Roman"/>
                <w:sz w:val="22"/>
                <w:szCs w:val="22"/>
              </w:rPr>
              <w:t xml:space="preserve"> </w:t>
            </w:r>
            <w:r>
              <w:rPr>
                <w:rFonts w:eastAsia="Times New Roman"/>
                <w:sz w:val="22"/>
                <w:szCs w:val="22"/>
              </w:rPr>
              <w:t xml:space="preserve">в местах исполнения обязательств по подаче холодной воды, возникших </w:t>
            </w:r>
          </w:p>
          <w:p>
            <w:pPr>
              <w:pStyle w:val="Normal"/>
              <w:widowControl/>
              <w:jc w:val="center"/>
              <w:rPr>
                <w:rFonts w:eastAsia="Times New Roman"/>
                <w:sz w:val="22"/>
                <w:szCs w:val="22"/>
              </w:rPr>
            </w:pPr>
            <w:r>
              <w:rPr>
                <w:rFonts w:eastAsia="Times New Roman"/>
                <w:sz w:val="22"/>
                <w:szCs w:val="22"/>
              </w:rPr>
              <w:t xml:space="preserve">в результате аварий, повреждений и иных технологических нарушений </w:t>
            </w:r>
          </w:p>
          <w:p>
            <w:pPr>
              <w:pStyle w:val="Normal"/>
              <w:widowControl/>
              <w:jc w:val="center"/>
              <w:rPr>
                <w:rFonts w:eastAsia="Times New Roman"/>
                <w:sz w:val="22"/>
                <w:szCs w:val="22"/>
              </w:rPr>
            </w:pPr>
            <w:r>
              <w:rPr>
                <w:rFonts w:eastAsia="Times New Roman"/>
                <w:sz w:val="22"/>
                <w:szCs w:val="22"/>
              </w:rPr>
              <w:t>на объектах централизованной системы холодного водоснабжения</w:t>
            </w:r>
          </w:p>
        </w:tc>
        <w:tc>
          <w:tcPr>
            <w:tcW w:w="695"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rFonts w:eastAsia="Times New Roman"/>
                <w:sz w:val="18"/>
                <w:szCs w:val="18"/>
              </w:rPr>
            </w:pPr>
            <w:r>
              <w:rPr>
                <w:rFonts w:eastAsia="Times New Roman"/>
                <w:sz w:val="18"/>
                <w:szCs w:val="18"/>
              </w:rPr>
              <w:t>ед./км</w:t>
            </w:r>
          </w:p>
        </w:tc>
        <w:tc>
          <w:tcPr>
            <w:tcW w:w="575"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0,64</w:t>
            </w:r>
          </w:p>
        </w:tc>
        <w:tc>
          <w:tcPr>
            <w:tcW w:w="531"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0,63</w:t>
            </w:r>
          </w:p>
        </w:tc>
        <w:tc>
          <w:tcPr>
            <w:tcW w:w="542"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0,63</w:t>
            </w:r>
          </w:p>
        </w:tc>
        <w:tc>
          <w:tcPr>
            <w:tcW w:w="53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0,62</w:t>
            </w:r>
          </w:p>
        </w:tc>
        <w:tc>
          <w:tcPr>
            <w:tcW w:w="603"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0,62</w:t>
            </w:r>
          </w:p>
        </w:tc>
        <w:tc>
          <w:tcPr>
            <w:tcW w:w="544"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0,61</w:t>
            </w:r>
          </w:p>
        </w:tc>
        <w:tc>
          <w:tcPr>
            <w:tcW w:w="53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0,61</w:t>
            </w:r>
          </w:p>
        </w:tc>
        <w:tc>
          <w:tcPr>
            <w:tcW w:w="52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0,60</w:t>
            </w:r>
          </w:p>
        </w:tc>
        <w:tc>
          <w:tcPr>
            <w:tcW w:w="53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0,60</w:t>
            </w:r>
          </w:p>
        </w:tc>
        <w:tc>
          <w:tcPr>
            <w:tcW w:w="434"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0,59</w:t>
            </w:r>
          </w:p>
        </w:tc>
        <w:tc>
          <w:tcPr>
            <w:tcW w:w="545" w:type="dxa"/>
            <w:gridSpan w:val="3"/>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0,59</w:t>
            </w:r>
          </w:p>
        </w:tc>
        <w:tc>
          <w:tcPr>
            <w:tcW w:w="435"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0,58</w:t>
            </w:r>
          </w:p>
        </w:tc>
        <w:tc>
          <w:tcPr>
            <w:tcW w:w="735" w:type="dxa"/>
            <w:gridSpan w:val="2"/>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rFonts w:eastAsia="Times New Roman"/>
                <w:sz w:val="18"/>
                <w:szCs w:val="18"/>
              </w:rPr>
            </w:pPr>
            <w:r>
              <w:rPr>
                <w:rFonts w:eastAsia="Times New Roman"/>
                <w:sz w:val="18"/>
                <w:szCs w:val="18"/>
              </w:rPr>
              <w:t>0,58</w:t>
            </w:r>
          </w:p>
        </w:tc>
        <w:tc>
          <w:tcPr>
            <w:tcW w:w="27" w:type="dxa"/>
            <w:tcBorders/>
          </w:tcPr>
          <w:p>
            <w:pPr>
              <w:pStyle w:val="Normal"/>
              <w:rPr/>
            </w:pPr>
            <w:r>
              <w:rPr/>
            </w:r>
          </w:p>
        </w:tc>
      </w:tr>
    </w:tbl>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Normal"/>
        <w:jc w:val="right"/>
        <w:rPr>
          <w:color w:val="000000" w:themeColor="text1"/>
          <w:spacing w:val="1"/>
          <w:sz w:val="24"/>
          <w:szCs w:val="24"/>
        </w:rPr>
      </w:pPr>
      <w:r>
        <w:rPr>
          <w:color w:val="000000" w:themeColor="text1"/>
          <w:spacing w:val="1"/>
          <w:sz w:val="24"/>
          <w:szCs w:val="24"/>
        </w:rPr>
        <w:t>Приложение № 5</w:t>
      </w:r>
    </w:p>
    <w:p>
      <w:pPr>
        <w:pStyle w:val="Normal"/>
        <w:jc w:val="right"/>
        <w:rPr>
          <w:sz w:val="24"/>
          <w:szCs w:val="24"/>
        </w:rPr>
      </w:pPr>
      <w:r>
        <w:rPr>
          <w:color w:val="000000" w:themeColor="text1"/>
          <w:spacing w:val="1"/>
          <w:sz w:val="24"/>
          <w:szCs w:val="24"/>
        </w:rPr>
        <w:t xml:space="preserve"> </w:t>
      </w:r>
      <w:r>
        <w:rPr>
          <w:color w:val="000000" w:themeColor="text1"/>
          <w:spacing w:val="1"/>
          <w:sz w:val="24"/>
          <w:szCs w:val="24"/>
        </w:rPr>
        <w:t xml:space="preserve">к </w:t>
      </w:r>
      <w:r>
        <w:rPr>
          <w:sz w:val="24"/>
          <w:szCs w:val="24"/>
        </w:rPr>
        <w:t xml:space="preserve">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08.04.2022  №  629</w:t>
      </w:r>
    </w:p>
    <w:p>
      <w:pPr>
        <w:pStyle w:val="Normal"/>
        <w:tabs>
          <w:tab w:val="clear" w:pos="708"/>
          <w:tab w:val="left" w:pos="7538"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ListParagraph"/>
        <w:ind w:left="1069" w:hanging="0"/>
        <w:jc w:val="right"/>
        <w:rPr>
          <w:color w:val="000000" w:themeColor="text1"/>
          <w:spacing w:val="1"/>
          <w:sz w:val="24"/>
          <w:szCs w:val="24"/>
          <w:lang w:val="ru-RU"/>
        </w:rPr>
      </w:pPr>
      <w:r>
        <w:rPr>
          <w:color w:val="000000" w:themeColor="text1"/>
          <w:spacing w:val="1"/>
          <w:sz w:val="24"/>
          <w:szCs w:val="24"/>
          <w:lang w:val="ru-RU"/>
        </w:rPr>
      </w:r>
    </w:p>
    <w:p>
      <w:pPr>
        <w:pStyle w:val="ListParagraph"/>
        <w:ind w:left="1069" w:hanging="0"/>
        <w:jc w:val="both"/>
        <w:rPr>
          <w:color w:val="000000" w:themeColor="text1"/>
          <w:spacing w:val="1"/>
          <w:sz w:val="24"/>
          <w:szCs w:val="24"/>
          <w:lang w:val="ru-RU"/>
        </w:rPr>
      </w:pPr>
      <w:r>
        <w:rPr>
          <w:color w:val="000000" w:themeColor="text1"/>
          <w:spacing w:val="1"/>
          <w:sz w:val="24"/>
          <w:szCs w:val="24"/>
          <w:lang w:val="ru-RU"/>
        </w:rPr>
      </w:r>
    </w:p>
    <w:p>
      <w:pPr>
        <w:pStyle w:val="ListParagraph"/>
        <w:widowControl w:val="false"/>
        <w:ind w:left="0" w:hanging="0"/>
        <w:jc w:val="center"/>
        <w:rPr>
          <w:b/>
          <w:b/>
          <w:color w:val="000000" w:themeColor="text1"/>
          <w:spacing w:val="1"/>
          <w:sz w:val="24"/>
          <w:szCs w:val="24"/>
          <w:lang w:val="ru-RU"/>
        </w:rPr>
      </w:pPr>
      <w:r>
        <w:rPr>
          <w:b/>
          <w:color w:val="000000" w:themeColor="text1"/>
          <w:spacing w:val="1"/>
          <w:sz w:val="24"/>
          <w:szCs w:val="24"/>
          <w:lang w:val="ru-RU"/>
        </w:rPr>
        <w:t xml:space="preserve">Минимально допустимые плановые значения показателей деятельности концессионера и долгосрочные параметры регулирования, </w:t>
      </w:r>
    </w:p>
    <w:p>
      <w:pPr>
        <w:pStyle w:val="ListParagraph"/>
        <w:widowControl w:val="false"/>
        <w:ind w:left="0" w:hanging="0"/>
        <w:jc w:val="center"/>
        <w:rPr>
          <w:b/>
          <w:b/>
          <w:color w:val="000000" w:themeColor="text1"/>
          <w:spacing w:val="1"/>
          <w:sz w:val="24"/>
          <w:szCs w:val="24"/>
          <w:lang w:val="ru-RU"/>
        </w:rPr>
      </w:pPr>
      <w:r>
        <w:rPr>
          <w:b/>
          <w:color w:val="000000" w:themeColor="text1"/>
          <w:spacing w:val="1"/>
          <w:sz w:val="24"/>
          <w:szCs w:val="24"/>
          <w:lang w:val="ru-RU"/>
        </w:rPr>
        <w:t>не установленные в качестве критериев конкурса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tbl>
      <w:tblPr>
        <w:tblStyle w:val="af0"/>
        <w:tblW w:w="9338" w:type="dxa"/>
        <w:jc w:val="left"/>
        <w:tblInd w:w="0" w:type="dxa"/>
        <w:tblCellMar>
          <w:top w:w="0" w:type="dxa"/>
          <w:left w:w="108" w:type="dxa"/>
          <w:bottom w:w="0" w:type="dxa"/>
          <w:right w:w="108" w:type="dxa"/>
        </w:tblCellMar>
        <w:tblLook w:val="04a0"/>
      </w:tblPr>
      <w:tblGrid>
        <w:gridCol w:w="846"/>
        <w:gridCol w:w="5379"/>
        <w:gridCol w:w="3113"/>
      </w:tblGrid>
      <w:tr>
        <w:trPr/>
        <w:tc>
          <w:tcPr>
            <w:tcW w:w="846" w:type="dxa"/>
            <w:tcBorders/>
          </w:tcPr>
          <w:p>
            <w:pPr>
              <w:pStyle w:val="Normal"/>
              <w:jc w:val="both"/>
              <w:rPr>
                <w:rFonts w:eastAsia="Calibri" w:eastAsiaTheme="minorHAnsi"/>
                <w:sz w:val="24"/>
                <w:szCs w:val="24"/>
                <w:lang w:eastAsia="en-US"/>
              </w:rPr>
            </w:pPr>
            <w:r>
              <w:rPr>
                <w:rFonts w:eastAsia="Calibri" w:eastAsiaTheme="minorHAnsi"/>
                <w:sz w:val="24"/>
                <w:szCs w:val="24"/>
                <w:lang w:eastAsia="en-US"/>
              </w:rPr>
              <w:t>1</w:t>
            </w:r>
          </w:p>
        </w:tc>
        <w:tc>
          <w:tcPr>
            <w:tcW w:w="5379" w:type="dxa"/>
            <w:tcBorders/>
          </w:tcPr>
          <w:p>
            <w:pPr>
              <w:pStyle w:val="Normal"/>
              <w:jc w:val="both"/>
              <w:rPr>
                <w:rFonts w:eastAsia="Calibri" w:eastAsiaTheme="minorHAnsi"/>
                <w:sz w:val="24"/>
                <w:szCs w:val="24"/>
                <w:lang w:eastAsia="en-US"/>
              </w:rPr>
            </w:pPr>
            <w:r>
              <w:rPr>
                <w:rFonts w:eastAsia="Calibri" w:eastAsiaTheme="minorHAnsi"/>
                <w:sz w:val="24"/>
                <w:szCs w:val="24"/>
                <w:lang w:eastAsia="en-US"/>
              </w:rPr>
              <w:t>Индекс эффективности операционных расходов</w:t>
            </w:r>
          </w:p>
        </w:tc>
        <w:tc>
          <w:tcPr>
            <w:tcW w:w="3113" w:type="dxa"/>
            <w:tcBorders/>
          </w:tcPr>
          <w:p>
            <w:pPr>
              <w:pStyle w:val="Normal"/>
              <w:jc w:val="both"/>
              <w:rPr>
                <w:rFonts w:eastAsia="Calibri" w:eastAsiaTheme="minorHAnsi"/>
                <w:sz w:val="24"/>
                <w:szCs w:val="24"/>
                <w:lang w:eastAsia="en-US"/>
              </w:rPr>
            </w:pPr>
            <w:r>
              <w:rPr>
                <w:rFonts w:eastAsia="Calibri" w:eastAsiaTheme="minorHAnsi"/>
                <w:sz w:val="24"/>
                <w:szCs w:val="24"/>
                <w:lang w:eastAsia="en-US"/>
              </w:rPr>
              <w:t>1% ежегодно на весь срок действия концессионного соглашения</w:t>
            </w:r>
          </w:p>
        </w:tc>
      </w:tr>
    </w:tbl>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
    </w:p>
    <w:sectPr>
      <w:headerReference w:type="default" r:id="rId10"/>
      <w:type w:val="nextPage"/>
      <w:pgSz w:w="11906" w:h="16838"/>
      <w:pgMar w:left="1701" w:right="850" w:header="709" w:top="1134" w:footer="0"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ucida Console">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1">
    <w:name w:val="Heading 1"/>
    <w:basedOn w:val="Normal"/>
    <w:next w:val="Normal"/>
    <w:link w:val="10"/>
    <w:uiPriority w:val="9"/>
    <w:qFormat/>
    <w:rsid w:val="003560c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4">
    <w:name w:val="Heading 4"/>
    <w:basedOn w:val="Normal"/>
    <w:next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 w:customStyle="1">
    <w:name w:val="Основной текст (2)_"/>
    <w:basedOn w:val="DefaultParagraphFont"/>
    <w:link w:val="20"/>
    <w:qFormat/>
    <w:rsid w:val="00006a50"/>
    <w:rPr>
      <w:rFonts w:ascii="Times New Roman" w:hAnsi="Times New Roman" w:eastAsia="Times New Roman" w:cs="Times New Roman"/>
      <w:shd w:fill="FFFFFF" w:val="clear"/>
    </w:rPr>
  </w:style>
  <w:style w:type="character" w:styleId="Style12">
    <w:name w:val="Интернет-ссылка"/>
    <w:basedOn w:val="DefaultParagraphFont"/>
    <w:uiPriority w:val="99"/>
    <w:unhideWhenUsed/>
    <w:rsid w:val="00177478"/>
    <w:rPr>
      <w:color w:val="0000FF" w:themeColor="hyperlink"/>
      <w:u w:val="single"/>
    </w:rPr>
  </w:style>
  <w:style w:type="character" w:styleId="Style13">
    <w:name w:val="Посещённая гиперссылка"/>
    <w:basedOn w:val="DefaultParagraphFont"/>
    <w:uiPriority w:val="99"/>
    <w:semiHidden/>
    <w:unhideWhenUsed/>
    <w:rsid w:val="00ab741b"/>
    <w:rPr>
      <w:color w:val="800080" w:themeColor="followedHyperlink"/>
      <w:u w:val="single"/>
    </w:rPr>
  </w:style>
  <w:style w:type="character" w:styleId="Style14" w:customStyle="1">
    <w:name w:val="Верхний колонтитул Знак"/>
    <w:basedOn w:val="DefaultParagraphFont"/>
    <w:link w:val="a6"/>
    <w:uiPriority w:val="99"/>
    <w:qFormat/>
    <w:rsid w:val="008e2abf"/>
    <w:rPr>
      <w:rFonts w:ascii="Times New Roman" w:hAnsi="Times New Roman" w:eastAsia="" w:cs="Times New Roman" w:eastAsiaTheme="minorEastAsia"/>
      <w:sz w:val="20"/>
      <w:szCs w:val="20"/>
      <w:lang w:eastAsia="ru-RU"/>
    </w:rPr>
  </w:style>
  <w:style w:type="character" w:styleId="Style15"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6"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21" w:customStyle="1">
    <w:name w:val="Основной текст с отступом 2 Знак"/>
    <w:basedOn w:val="DefaultParagraphFont"/>
    <w:link w:val="21"/>
    <w:uiPriority w:val="99"/>
    <w:qFormat/>
    <w:rsid w:val="0024663c"/>
    <w:rPr>
      <w:rFonts w:ascii="Lucida Console" w:hAnsi="Lucida Console" w:eastAsia="Times New Roman" w:cs="Calibri"/>
      <w:sz w:val="16"/>
      <w:szCs w:val="20"/>
      <w:lang w:eastAsia="ar-SA"/>
    </w:rPr>
  </w:style>
  <w:style w:type="character" w:styleId="6" w:customStyle="1">
    <w:name w:val="Основной текст (6)_"/>
    <w:link w:val="60"/>
    <w:qFormat/>
    <w:rsid w:val="00f71b75"/>
    <w:rPr>
      <w:i/>
      <w:iCs/>
      <w:sz w:val="28"/>
      <w:szCs w:val="28"/>
      <w:shd w:fill="FFFFFF" w:val="clear"/>
    </w:rPr>
  </w:style>
  <w:style w:type="character" w:styleId="613pt" w:customStyle="1">
    <w:name w:val="Основной текст (6) + 13 pt;Не курсив"/>
    <w:qFormat/>
    <w:rsid w:val="00f71b75"/>
    <w:rPr>
      <w:rFonts w:ascii="Times New Roman" w:hAnsi="Times New Roman" w:eastAsia="Times New Roman" w:cs="Times New Roman"/>
      <w:i/>
      <w:iCs/>
      <w:color w:val="000000"/>
      <w:spacing w:val="0"/>
      <w:w w:val="100"/>
      <w:sz w:val="26"/>
      <w:szCs w:val="26"/>
      <w:shd w:fill="FFFFFF" w:val="clear"/>
      <w:lang w:val="ru-RU" w:eastAsia="ru-RU" w:bidi="ru-RU"/>
    </w:rPr>
  </w:style>
  <w:style w:type="character" w:styleId="11" w:customStyle="1">
    <w:name w:val="Заголовок 1 Знак"/>
    <w:basedOn w:val="DefaultParagraphFont"/>
    <w:link w:val="1"/>
    <w:uiPriority w:val="9"/>
    <w:qFormat/>
    <w:rsid w:val="003560c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7" w:customStyle="1">
    <w:name w:val="Гипертекстовая ссылка"/>
    <w:uiPriority w:val="99"/>
    <w:qFormat/>
    <w:rsid w:val="003560c5"/>
    <w:rPr>
      <w:rFonts w:cs="Times New Roman"/>
      <w:b/>
      <w:color w:val="106BBE"/>
      <w:sz w:val="26"/>
    </w:rPr>
  </w:style>
  <w:style w:type="character" w:styleId="212pt" w:customStyle="1">
    <w:name w:val="Основной текст (2) + 12 pt"/>
    <w:qFormat/>
    <w:rsid w:val="003560c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7" w:customStyle="1">
    <w:name w:val="Основной текст (7)_"/>
    <w:link w:val="70"/>
    <w:qFormat/>
    <w:rsid w:val="003560c5"/>
    <w:rPr>
      <w:b/>
      <w:bCs/>
      <w:i/>
      <w:iCs/>
      <w:sz w:val="26"/>
      <w:szCs w:val="26"/>
      <w:shd w:fill="FFFFFF" w:val="clear"/>
    </w:rPr>
  </w:style>
  <w:style w:type="character" w:styleId="71" w:customStyle="1">
    <w:name w:val="Основной текст (7) + Не курсив"/>
    <w:qFormat/>
    <w:rsid w:val="003560c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714pt" w:customStyle="1">
    <w:name w:val="Основной текст (7) + 14 pt;Не полужирный"/>
    <w:qFormat/>
    <w:rsid w:val="003560c5"/>
    <w:rPr>
      <w:rFonts w:ascii="Times New Roman" w:hAnsi="Times New Roman" w:eastAsia="Times New Roman" w:cs="Times New Roman"/>
      <w:b/>
      <w:bCs/>
      <w:i/>
      <w:iCs/>
      <w:caps w:val="false"/>
      <w:smallCaps w:val="false"/>
      <w:strike w:val="false"/>
      <w:dstrike w:val="false"/>
      <w:color w:val="000000"/>
      <w:spacing w:val="0"/>
      <w:w w:val="100"/>
      <w:sz w:val="28"/>
      <w:szCs w:val="28"/>
      <w:u w:val="none"/>
      <w:lang w:val="ru-RU" w:eastAsia="ru-RU" w:bidi="ru-RU"/>
    </w:rPr>
  </w:style>
  <w:style w:type="character" w:styleId="Bodytext" w:customStyle="1">
    <w:name w:val="Body text_"/>
    <w:basedOn w:val="DefaultParagraphFont"/>
    <w:link w:val="Bodytext1"/>
    <w:qFormat/>
    <w:rsid w:val="009d3adc"/>
    <w:rPr>
      <w:spacing w:val="5"/>
      <w:sz w:val="25"/>
      <w:szCs w:val="25"/>
      <w:shd w:fill="FFFFFF" w:val="clear"/>
    </w:rPr>
  </w:style>
  <w:style w:type="character" w:styleId="Annotationreference">
    <w:name w:val="annotation reference"/>
    <w:basedOn w:val="DefaultParagraphFont"/>
    <w:uiPriority w:val="99"/>
    <w:semiHidden/>
    <w:unhideWhenUsed/>
    <w:qFormat/>
    <w:rsid w:val="00dc6d1d"/>
    <w:rPr>
      <w:sz w:val="16"/>
      <w:szCs w:val="16"/>
    </w:rPr>
  </w:style>
  <w:style w:type="character" w:styleId="Style18" w:customStyle="1">
    <w:name w:val="Текст примечания Знак"/>
    <w:basedOn w:val="DefaultParagraphFont"/>
    <w:link w:val="af2"/>
    <w:uiPriority w:val="99"/>
    <w:semiHidden/>
    <w:qFormat/>
    <w:rsid w:val="00dc6d1d"/>
    <w:rPr>
      <w:rFonts w:ascii="Times New Roman" w:hAnsi="Times New Roman" w:eastAsia="" w:cs="Times New Roman" w:eastAsiaTheme="minorEastAsia"/>
      <w:sz w:val="20"/>
      <w:szCs w:val="20"/>
      <w:lang w:eastAsia="ru-RU"/>
    </w:rPr>
  </w:style>
  <w:style w:type="character" w:styleId="Style19" w:customStyle="1">
    <w:name w:val="Тема примечания Знак"/>
    <w:basedOn w:val="Style18"/>
    <w:link w:val="af4"/>
    <w:uiPriority w:val="99"/>
    <w:semiHidden/>
    <w:qFormat/>
    <w:rsid w:val="00dc6d1d"/>
    <w:rPr>
      <w:rFonts w:ascii="Times New Roman" w:hAnsi="Times New Roman" w:eastAsia="" w:cs="Times New Roman" w:eastAsiaTheme="minorEastAsia"/>
      <w:b/>
      <w:bCs/>
      <w:sz w:val="20"/>
      <w:szCs w:val="20"/>
      <w:lang w:eastAsia="ru-RU"/>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22" w:customStyle="1">
    <w:name w:val="Основной текст (2)"/>
    <w:basedOn w:val="Normal"/>
    <w:link w:val="2"/>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5">
    <w:name w:val="Верхний и нижний колонтитулы"/>
    <w:basedOn w:val="Normal"/>
    <w:qFormat/>
    <w:pPr/>
    <w:rPr/>
  </w:style>
  <w:style w:type="paragraph" w:styleId="Style26">
    <w:name w:val="Header"/>
    <w:basedOn w:val="Normal"/>
    <w:link w:val="a7"/>
    <w:uiPriority w:val="99"/>
    <w:unhideWhenUsed/>
    <w:rsid w:val="008e2abf"/>
    <w:pPr>
      <w:tabs>
        <w:tab w:val="clear" w:pos="708"/>
        <w:tab w:val="center" w:pos="4677" w:leader="none"/>
        <w:tab w:val="right" w:pos="9355" w:leader="none"/>
      </w:tabs>
    </w:pPr>
    <w:rPr/>
  </w:style>
  <w:style w:type="paragraph" w:styleId="Style27">
    <w:name w:val="Footer"/>
    <w:basedOn w:val="Normal"/>
    <w:link w:val="a9"/>
    <w:uiPriority w:val="99"/>
    <w:unhideWhenUsed/>
    <w:rsid w:val="008e2abf"/>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NoSpacing">
    <w:name w:val="No Spacing"/>
    <w:uiPriority w:val="1"/>
    <w:qFormat/>
    <w:rsid w:val="00a7168b"/>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BodyTextIndent2">
    <w:name w:val="Body Text Indent 2"/>
    <w:basedOn w:val="Normal"/>
    <w:link w:val="22"/>
    <w:uiPriority w:val="99"/>
    <w:unhideWhenUsed/>
    <w:qFormat/>
    <w:rsid w:val="0024663c"/>
    <w:pPr>
      <w:widowControl/>
      <w:suppressAutoHyphens w:val="true"/>
      <w:spacing w:lineRule="auto" w:line="480" w:before="0" w:after="120"/>
      <w:ind w:left="283" w:hanging="0"/>
    </w:pPr>
    <w:rPr>
      <w:rFonts w:ascii="Lucida Console" w:hAnsi="Lucida Console" w:eastAsia="Times New Roman" w:cs="Calibri"/>
      <w:sz w:val="16"/>
      <w:lang w:eastAsia="ar-SA"/>
    </w:rPr>
  </w:style>
  <w:style w:type="paragraph" w:styleId="61" w:customStyle="1">
    <w:name w:val="Основной текст (6)"/>
    <w:basedOn w:val="Normal"/>
    <w:link w:val="6"/>
    <w:qFormat/>
    <w:rsid w:val="00f71b75"/>
    <w:pPr>
      <w:shd w:val="clear" w:color="auto" w:fill="FFFFFF"/>
      <w:spacing w:lineRule="exact" w:line="320"/>
    </w:pPr>
    <w:rPr>
      <w:rFonts w:ascii="Calibri" w:hAnsi="Calibri" w:eastAsia="Calibri" w:cs="" w:asciiTheme="minorHAnsi" w:cstheme="minorBidi" w:eastAsiaTheme="minorHAnsi" w:hAnsiTheme="minorHAnsi"/>
      <w:i/>
      <w:iCs/>
      <w:sz w:val="28"/>
      <w:szCs w:val="28"/>
      <w:lang w:eastAsia="en-US"/>
    </w:rPr>
  </w:style>
  <w:style w:type="paragraph" w:styleId="ConsPlusTitle" w:customStyle="1">
    <w:name w:val="ConsPlusTitle"/>
    <w:qFormat/>
    <w:rsid w:val="0031518d"/>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NormalWeb">
    <w:name w:val="Normal (Web)"/>
    <w:basedOn w:val="Normal"/>
    <w:uiPriority w:val="99"/>
    <w:unhideWhenUsed/>
    <w:qFormat/>
    <w:rsid w:val="003560c5"/>
    <w:pPr>
      <w:widowControl/>
      <w:spacing w:beforeAutospacing="1" w:afterAutospacing="1"/>
    </w:pPr>
    <w:rPr>
      <w:rFonts w:eastAsia="Times New Roman"/>
      <w:sz w:val="24"/>
      <w:szCs w:val="24"/>
    </w:rPr>
  </w:style>
  <w:style w:type="paragraph" w:styleId="72" w:customStyle="1">
    <w:name w:val="Основной текст (7)"/>
    <w:basedOn w:val="Normal"/>
    <w:link w:val="7"/>
    <w:qFormat/>
    <w:rsid w:val="003560c5"/>
    <w:pPr>
      <w:shd w:val="clear" w:color="auto" w:fill="FFFFFF"/>
      <w:spacing w:lineRule="exact" w:line="299"/>
      <w:jc w:val="both"/>
    </w:pPr>
    <w:rPr>
      <w:rFonts w:ascii="Calibri" w:hAnsi="Calibri" w:eastAsia="Calibri" w:cs="" w:asciiTheme="minorHAnsi" w:cstheme="minorBidi" w:eastAsiaTheme="minorHAnsi" w:hAnsiTheme="minorHAnsi"/>
      <w:b/>
      <w:bCs/>
      <w:i/>
      <w:iCs/>
      <w:sz w:val="26"/>
      <w:szCs w:val="26"/>
      <w:lang w:eastAsia="en-US"/>
    </w:rPr>
  </w:style>
  <w:style w:type="paragraph" w:styleId="Bodytext1" w:customStyle="1">
    <w:name w:val="Body text1"/>
    <w:basedOn w:val="Normal"/>
    <w:link w:val="Bodytext"/>
    <w:qFormat/>
    <w:rsid w:val="009d3adc"/>
    <w:pPr>
      <w:widowControl/>
      <w:shd w:val="clear" w:color="auto" w:fill="FFFFFF"/>
      <w:spacing w:lineRule="exact" w:line="326" w:before="2100" w:after="900"/>
      <w:jc w:val="both"/>
    </w:pPr>
    <w:rPr>
      <w:rFonts w:ascii="Calibri" w:hAnsi="Calibri" w:eastAsia="Calibri" w:cs="" w:asciiTheme="minorHAnsi" w:cstheme="minorBidi" w:eastAsiaTheme="minorHAnsi" w:hAnsiTheme="minorHAnsi"/>
      <w:spacing w:val="5"/>
      <w:sz w:val="25"/>
      <w:szCs w:val="25"/>
      <w:lang w:eastAsia="en-US"/>
    </w:rPr>
  </w:style>
  <w:style w:type="paragraph" w:styleId="Standard" w:customStyle="1">
    <w:name w:val="Standard"/>
    <w:qFormat/>
    <w:rsid w:val="005d61a1"/>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Western" w:customStyle="1">
    <w:name w:val="western"/>
    <w:basedOn w:val="Normal"/>
    <w:qFormat/>
    <w:rsid w:val="00a050a1"/>
    <w:pPr>
      <w:widowControl/>
      <w:spacing w:beforeAutospacing="1" w:afterAutospacing="1"/>
    </w:pPr>
    <w:rPr>
      <w:rFonts w:eastAsia="Times New Roman"/>
      <w:sz w:val="24"/>
      <w:szCs w:val="24"/>
    </w:rPr>
  </w:style>
  <w:style w:type="paragraph" w:styleId="Style41" w:customStyle="1">
    <w:name w:val="Style4"/>
    <w:uiPriority w:val="99"/>
    <w:qFormat/>
    <w:rsid w:val="00f27c89"/>
    <w:pPr>
      <w:widowControl/>
      <w:suppressAutoHyphens w:val="true"/>
      <w:bidi w:val="0"/>
      <w:spacing w:lineRule="exact" w:line="326" w:before="0" w:after="0"/>
      <w:ind w:firstLine="720"/>
      <w:jc w:val="both"/>
    </w:pPr>
    <w:rPr>
      <w:rFonts w:ascii="Times New Roman" w:hAnsi="Times New Roman" w:eastAsia="Times New Roman" w:cs="Times New Roman"/>
      <w:color w:val="auto"/>
      <w:kern w:val="0"/>
      <w:sz w:val="24"/>
      <w:szCs w:val="20"/>
      <w:lang w:val="ru-RU" w:eastAsia="ru-RU" w:bidi="ar-SA"/>
    </w:rPr>
  </w:style>
  <w:style w:type="paragraph" w:styleId="Annotationtext">
    <w:name w:val="annotation text"/>
    <w:basedOn w:val="Normal"/>
    <w:link w:val="af3"/>
    <w:uiPriority w:val="99"/>
    <w:semiHidden/>
    <w:unhideWhenUsed/>
    <w:qFormat/>
    <w:rsid w:val="00dc6d1d"/>
    <w:pPr/>
    <w:rPr/>
  </w:style>
  <w:style w:type="paragraph" w:styleId="Annotationsubject">
    <w:name w:val="annotation subject"/>
    <w:basedOn w:val="Annotationtext"/>
    <w:next w:val="Annotationtext"/>
    <w:link w:val="af5"/>
    <w:uiPriority w:val="99"/>
    <w:semiHidden/>
    <w:unhideWhenUsed/>
    <w:qFormat/>
    <w:rsid w:val="00dc6d1d"/>
    <w:pPr/>
    <w:rPr>
      <w:b/>
      <w:bCs/>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39"/>
    <w:rsid w:val="002e20f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B94D6C041646C5C83539D1D2764B1E185FCBE36BD04E379D90805EDE1v8kAK" TargetMode="External"/><Relationship Id="rId3" Type="http://schemas.openxmlformats.org/officeDocument/2006/relationships/hyperlink" Target="http://www.torgi.gov.ru/" TargetMode="External"/><Relationship Id="rId4" Type="http://schemas.openxmlformats.org/officeDocument/2006/relationships/hyperlink" Target="http://www.gorodsharypovo.ru/" TargetMode="External"/><Relationship Id="rId5" Type="http://schemas.openxmlformats.org/officeDocument/2006/relationships/hyperlink" Target="consultantplus://offline/ref=94A3A3AB1CBFA2829889119CFBFECC3B3F2F94909EB525F3737ED16F985FE596904D4D2BABB28B21BEAA6D66895E9559F464CB327BCCD5g0E" TargetMode="External"/><Relationship Id="rId6" Type="http://schemas.openxmlformats.org/officeDocument/2006/relationships/hyperlink" Target="consultantplus://offline/ref=D488D30A818CA8996D0F08C2BC23813339C8902A18EB6AC4F928E5989394E355F752DAcCoAJ" TargetMode="External"/><Relationship Id="rId7" Type="http://schemas.openxmlformats.org/officeDocument/2006/relationships/hyperlink" Target="consultantplus://offline/ref=7DDDF8504A8C991D6DC062AEBE1543CC2FFA7E60336A347E592B209D78j9Y4O" TargetMode="External"/><Relationship Id="rId8" Type="http://schemas.openxmlformats.org/officeDocument/2006/relationships/hyperlink" Target="consultantplus://offline/ref=70394CBEEEC41CA054350093BE67AE88B615DACBE42413D8F0DEE3366928277C385B6277F4cDj2O" TargetMode="External"/><Relationship Id="rId9" Type="http://schemas.openxmlformats.org/officeDocument/2006/relationships/hyperlink" Target="consultantplus://offline/ref=70394CBEEEC41CA054350093BE67AE88B615DACBE42413D8F0DEE3366928277C385B6277F4cDj0O"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605B-0E07-4DEC-A94A-BBD4548C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Application>LibreOffice/6.4.7.2$Linux_X86_64 LibreOffice_project/40$Build-2</Application>
  <Pages>35</Pages>
  <Words>5037</Words>
  <Characters>34360</Characters>
  <CharactersWithSpaces>40935</CharactersWithSpaces>
  <Paragraphs>1022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2021-12-09T08:21:00Z</dcterms:created>
  <dc:creator>Customer</dc:creator>
  <dc:description/>
  <dc:language>ru-RU</dc:language>
  <cp:lastModifiedBy/>
  <cp:lastPrinted>2022-04-05T03:50:00Z</cp:lastPrinted>
  <dcterms:modified xsi:type="dcterms:W3CDTF">2022-04-12T16:59:59Z</dcterms:modified>
  <cp:revision>849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