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2022год</w:t>
      </w:r>
    </w:p>
    <w:p>
      <w:pPr>
        <w:pStyle w:val="Normal"/>
        <w:spacing w:lineRule="auto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ind w:firstLine="708"/>
        <w:jc w:val="both"/>
        <w:rPr/>
      </w:pPr>
      <w:r>
        <w:rPr>
          <w:b/>
          <w:sz w:val="28"/>
          <w:szCs w:val="28"/>
        </w:rPr>
        <w:t>В рамках муниципальной программы «Формирование современной городской среды» с участием средств краевого бюджета, выделенных в рамках подпрограммы «Благоустройство дворовых и общественных территорий муниципальных образований» государственной программы Красноярского края «Содействие органам местного самоуправления в формировании современной городской среды» выполнены работы по благоустройству;</w:t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дворовых территорий: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 комиссия в соответствии с Порядком предоставления, рассмотрения и оценки предложений по включению дворовой территории в муниципальную программу приняла решение включить в муниципальную программу на 2022год 4 дворовые территории, набравшие наибольшее количество баллов: шестой микрорайон, д. 11, 39а, 47; Пионерный микрорайон, д. 101/1.</w:t>
      </w:r>
    </w:p>
    <w:p>
      <w:pPr>
        <w:pStyle w:val="Normal"/>
        <w:spacing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решению общих собраний собственников жилых помещений данных домов выполнены работы по ремонту дворовых проездов: замена бортовых камней, восстановление асфальтобетонных покрытий в границах кадастровых участков.</w:t>
      </w:r>
    </w:p>
    <w:p>
      <w:pPr>
        <w:pStyle w:val="Normal"/>
        <w:spacing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Цена контракта по итогу электронного аукциона 5,4 млн.руб.</w:t>
      </w:r>
    </w:p>
    <w:p>
      <w:pPr>
        <w:pStyle w:val="Normal"/>
        <w:spacing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по контракту завершены 15.07.2022г. </w:t>
      </w:r>
    </w:p>
    <w:p>
      <w:pPr>
        <w:pStyle w:val="Normal"/>
        <w:spacing w:lineRule="auto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sz w:val="28"/>
          <w:szCs w:val="28"/>
          <w:u w:val="single"/>
        </w:rPr>
        <w:t>общественной территории-парка Зеленый островок (первый этап)</w:t>
      </w:r>
    </w:p>
    <w:p>
      <w:pPr>
        <w:pStyle w:val="Normal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работ - 13,03млн.руб. По итогу электронных двух конкурсов в электронном виде через Агентство государственного заказа Красноярского края, заключено два муниципальных контракта с победителями: на выполнение работ по благоустройству с ООО «Престиж-Строй» на сумму 12,06млн. руб. и на выполнение работ по озеленению парка - ООО СХП «Зеленый мир» на сумму 0,97млн.руб. </w:t>
      </w:r>
    </w:p>
    <w:p>
      <w:pPr>
        <w:pStyle w:val="Normal"/>
        <w:spacing w:lineRule="auto"/>
        <w:jc w:val="both"/>
        <w:rPr/>
      </w:pPr>
      <w:r>
        <w:rPr>
          <w:sz w:val="28"/>
          <w:szCs w:val="28"/>
        </w:rPr>
        <w:t>- устройство асфальтобетонных покрытий с установкой поребрика - 2630кв.м.;</w:t>
      </w:r>
    </w:p>
    <w:p>
      <w:pPr>
        <w:pStyle w:val="Style19"/>
        <w:spacing w:lineRule="auto" w:before="0" w:after="0"/>
        <w:ind w:left="0" w:hanging="0"/>
        <w:contextualSpacing/>
        <w:rPr/>
      </w:pPr>
      <w:r>
        <w:rPr>
          <w:sz w:val="28"/>
          <w:szCs w:val="28"/>
        </w:rPr>
        <w:t>- устройство резинового покрытия на детской и спортивной площадках -332кв.м.;</w:t>
      </w:r>
    </w:p>
    <w:p>
      <w:pPr>
        <w:pStyle w:val="Style19"/>
        <w:spacing w:lineRule="auto" w:before="0" w:after="0"/>
        <w:ind w:left="0" w:hanging="0"/>
        <w:contextualSpacing/>
        <w:rPr/>
      </w:pPr>
      <w:r>
        <w:rPr>
          <w:sz w:val="28"/>
          <w:szCs w:val="28"/>
        </w:rPr>
        <w:t>- укладка тактильной плитки на пешеходных переходах -10,8м</w:t>
      </w:r>
      <w:r>
        <w:rPr>
          <w:rFonts w:cs="Calibri" w:ascii="Calibri" w:hAnsi="Calibri"/>
          <w:sz w:val="28"/>
          <w:szCs w:val="28"/>
        </w:rPr>
        <w:t>²</w:t>
      </w:r>
      <w:r>
        <w:rPr>
          <w:sz w:val="28"/>
          <w:szCs w:val="28"/>
        </w:rPr>
        <w:t>;</w:t>
      </w:r>
    </w:p>
    <w:p>
      <w:pPr>
        <w:pStyle w:val="Style19"/>
        <w:spacing w:lineRule="auto" w:before="0" w:after="0"/>
        <w:ind w:left="0" w:hanging="0"/>
        <w:contextualSpacing/>
        <w:rPr/>
      </w:pPr>
      <w:r>
        <w:rPr>
          <w:sz w:val="28"/>
          <w:szCs w:val="28"/>
        </w:rPr>
        <w:t>- устройство сетей уличного освещения с прокладкой кабеля 590м и установкой опор со светильниками -21шт.;</w:t>
      </w:r>
    </w:p>
    <w:p>
      <w:pPr>
        <w:pStyle w:val="Style19"/>
        <w:spacing w:lineRule="auto" w:before="0" w:after="0"/>
        <w:ind w:left="0" w:hanging="0"/>
        <w:contextualSpacing/>
        <w:rPr/>
      </w:pPr>
      <w:r>
        <w:rPr>
          <w:sz w:val="28"/>
          <w:szCs w:val="28"/>
        </w:rPr>
        <w:t>- установка детских игровых комплексов - 3шт;</w:t>
      </w:r>
    </w:p>
    <w:p>
      <w:pPr>
        <w:pStyle w:val="Style19"/>
        <w:spacing w:lineRule="auto" w:before="0" w:after="0"/>
        <w:ind w:left="0" w:hanging="0"/>
        <w:contextualSpacing/>
        <w:rPr/>
      </w:pPr>
      <w:r>
        <w:rPr>
          <w:sz w:val="28"/>
          <w:szCs w:val="28"/>
        </w:rPr>
        <w:t>- установка скамей - 21шт;</w:t>
      </w:r>
    </w:p>
    <w:p>
      <w:pPr>
        <w:pStyle w:val="Style19"/>
        <w:spacing w:lineRule="auto" w:before="0" w:after="0"/>
        <w:ind w:left="0" w:hanging="0"/>
        <w:contextualSpacing/>
        <w:rPr/>
      </w:pPr>
      <w:r>
        <w:rPr>
          <w:sz w:val="28"/>
          <w:szCs w:val="28"/>
        </w:rPr>
        <w:t>- установка урн - 19шт.</w:t>
      </w:r>
    </w:p>
    <w:p>
      <w:pPr>
        <w:pStyle w:val="Style19"/>
        <w:spacing w:lineRule="auto" w:before="0" w:after="0"/>
        <w:ind w:left="0" w:hanging="0"/>
        <w:contextualSpacing/>
        <w:rPr>
          <w:sz w:val="28"/>
          <w:szCs w:val="28"/>
        </w:rPr>
      </w:pPr>
      <w:r>
        <w:rPr>
          <w:sz w:val="28"/>
          <w:szCs w:val="28"/>
        </w:rPr>
        <w:t>- в рамках озеленения высажен 461кустарник.</w:t>
      </w:r>
    </w:p>
    <w:p>
      <w:pPr>
        <w:pStyle w:val="Normal"/>
        <w:spacing w:lineRule="auto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before="0" w:after="200"/>
        <w:jc w:val="both"/>
        <w:rPr/>
      </w:pPr>
      <w:r>
        <w:rPr>
          <w:sz w:val="28"/>
          <w:szCs w:val="28"/>
        </w:rPr>
        <w:t>Работы по контрактам завершены в полном объеме по благоустройству -15.06.2022; по озеленению – 14.10.2022года.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Arial" w:hAnsi="Arial" w:eastAsia="Arial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basedOn w:val="Normal"/>
    <w:uiPriority w:val="1"/>
    <w:qFormat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Style19">
    <w:name w:val="Абзац списка"/>
    <w:basedOn w:val="Normal"/>
    <w:qFormat/>
    <w:pPr>
      <w:spacing w:lineRule="auto" w:line="254" w:before="0" w:after="160"/>
      <w:ind w:left="720" w:hanging="0"/>
      <w:contextualSpacing/>
      <w:jc w:val="both"/>
    </w:pPr>
    <w:rPr>
      <w:rFonts w:eastAsia="Calibri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LibreOffice/6.4.7.2$Linux_X86_64 LibreOffice_project/40$Build-2</Application>
  <Pages>2</Pages>
  <Words>262</Words>
  <Characters>1835</Characters>
  <CharactersWithSpaces>2080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2023-03-02T18:19:27Z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